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100D8C" w14:textId="77777777" w:rsidR="009030C8" w:rsidRDefault="00000000">
      <w:pPr>
        <w:spacing w:after="40" w:line="276" w:lineRule="auto"/>
      </w:pPr>
      <w:r>
        <w:rPr>
          <w:b/>
          <w:bCs/>
          <w:color w:val="111827"/>
          <w:sz w:val="36"/>
          <w:szCs w:val="36"/>
        </w:rPr>
        <w:t>Training Generative AI Large Language Models</w:t>
      </w:r>
    </w:p>
    <w:p w14:paraId="10E4ABAC" w14:textId="77777777" w:rsidR="009030C8" w:rsidRDefault="00000000">
      <w:pPr>
        <w:spacing w:line="276" w:lineRule="auto"/>
      </w:pPr>
      <w:r>
        <w:rPr>
          <w:color w:val="6B7280"/>
          <w:sz w:val="24"/>
          <w:szCs w:val="24"/>
        </w:rPr>
        <w:t>Process Overview · Resource Costs · Model Comparisons</w:t>
      </w:r>
    </w:p>
    <w:p w14:paraId="2F9AA9F8" w14:textId="54BE184B" w:rsidR="009030C8" w:rsidRDefault="009030C8">
      <w:pPr>
        <w:pBdr>
          <w:bottom w:val="single" w:sz="6" w:space="6" w:color="2563EB"/>
        </w:pBdr>
        <w:spacing w:before="60" w:after="120" w:line="276" w:lineRule="auto"/>
      </w:pPr>
    </w:p>
    <w:p w14:paraId="5B7769AE" w14:textId="77777777" w:rsidR="009030C8" w:rsidRDefault="00000000">
      <w:pPr>
        <w:spacing w:after="100" w:line="276" w:lineRule="auto"/>
      </w:pPr>
      <w:r>
        <w:t xml:space="preserve">Training a large language model (LLM) is among the most resource-intensive tasks in modern computing. Systems like GPT-4, Claude, Gemini, and </w:t>
      </w:r>
      <w:proofErr w:type="spellStart"/>
      <w:r>
        <w:t>LLaMA</w:t>
      </w:r>
      <w:proofErr w:type="spellEnd"/>
      <w:r>
        <w:t xml:space="preserve"> require massive datasets, thousands of specialized processors, enormous energy budgets, and months of continuous computation. This document outlines the seven-stage training pipeline common to all major generative AI models and benchmarks the associated costs across leading systems.</w:t>
      </w:r>
    </w:p>
    <w:p w14:paraId="0F1E2935" w14:textId="77777777" w:rsidR="009030C8" w:rsidRDefault="009030C8">
      <w:pPr>
        <w:spacing w:after="80"/>
      </w:pPr>
    </w:p>
    <w:p w14:paraId="131F8670" w14:textId="77777777" w:rsidR="009030C8" w:rsidRDefault="00000000">
      <w:pPr>
        <w:pBdr>
          <w:bottom w:val="single" w:sz="4" w:space="4" w:color="2563EB"/>
        </w:pBdr>
        <w:spacing w:before="200" w:after="80" w:line="276" w:lineRule="auto"/>
      </w:pPr>
      <w:r>
        <w:rPr>
          <w:b/>
          <w:bCs/>
          <w:color w:val="111827"/>
          <w:sz w:val="28"/>
          <w:szCs w:val="28"/>
        </w:rPr>
        <w:t>The Training Pipeline</w:t>
      </w:r>
    </w:p>
    <w:p w14:paraId="3B75224C" w14:textId="77777777" w:rsidR="009030C8" w:rsidRDefault="00000000">
      <w:pPr>
        <w:spacing w:after="100" w:line="276" w:lineRule="auto"/>
      </w:pPr>
      <w:r>
        <w:t>Every major generative AI model follows a broadly consistent training process, regardless of developer. The seven stages below describe that pipeline from raw data through public deployment.</w:t>
      </w:r>
    </w:p>
    <w:p w14:paraId="17B18C83" w14:textId="77777777" w:rsidR="009030C8" w:rsidRDefault="009030C8">
      <w:pPr>
        <w:spacing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720"/>
        <w:gridCol w:w="2040"/>
        <w:gridCol w:w="6600"/>
      </w:tblGrid>
      <w:tr w:rsidR="009030C8" w14:paraId="146564B7" w14:textId="77777777">
        <w:tblPrEx>
          <w:tblCellMar>
            <w:top w:w="0" w:type="dxa"/>
            <w:bottom w:w="0" w:type="dxa"/>
          </w:tblCellMar>
        </w:tblPrEx>
        <w:tc>
          <w:tcPr>
            <w:tcW w:w="720" w:type="dxa"/>
            <w:tcBorders>
              <w:top w:val="single" w:sz="1" w:space="0" w:color="2563EB"/>
              <w:left w:val="single" w:sz="1" w:space="0" w:color="2563EB"/>
              <w:bottom w:val="single" w:sz="1" w:space="0" w:color="2563EB"/>
              <w:right w:val="single" w:sz="1" w:space="0" w:color="2563EB"/>
            </w:tcBorders>
            <w:shd w:val="clear" w:color="auto" w:fill="EFF6FF"/>
            <w:tcMar>
              <w:top w:w="80" w:type="dxa"/>
              <w:left w:w="120" w:type="dxa"/>
              <w:bottom w:w="80" w:type="dxa"/>
              <w:right w:w="120" w:type="dxa"/>
            </w:tcMar>
          </w:tcPr>
          <w:p w14:paraId="11683B55" w14:textId="77777777" w:rsidR="009030C8" w:rsidRDefault="00000000">
            <w:pPr>
              <w:spacing w:line="276" w:lineRule="auto"/>
            </w:pPr>
            <w:r>
              <w:rPr>
                <w:b/>
                <w:bCs/>
                <w:color w:val="2563EB"/>
                <w:sz w:val="20"/>
                <w:szCs w:val="20"/>
              </w:rPr>
              <w:t>#</w:t>
            </w:r>
          </w:p>
        </w:tc>
        <w:tc>
          <w:tcPr>
            <w:tcW w:w="2040" w:type="dxa"/>
            <w:tcBorders>
              <w:top w:val="single" w:sz="1" w:space="0" w:color="2563EB"/>
              <w:left w:val="single" w:sz="1" w:space="0" w:color="2563EB"/>
              <w:bottom w:val="single" w:sz="1" w:space="0" w:color="2563EB"/>
              <w:right w:val="single" w:sz="1" w:space="0" w:color="2563EB"/>
            </w:tcBorders>
            <w:shd w:val="clear" w:color="auto" w:fill="EFF6FF"/>
            <w:tcMar>
              <w:top w:w="80" w:type="dxa"/>
              <w:left w:w="120" w:type="dxa"/>
              <w:bottom w:w="80" w:type="dxa"/>
              <w:right w:w="120" w:type="dxa"/>
            </w:tcMar>
          </w:tcPr>
          <w:p w14:paraId="66B8F921" w14:textId="77777777" w:rsidR="009030C8" w:rsidRDefault="00000000">
            <w:pPr>
              <w:spacing w:line="276" w:lineRule="auto"/>
            </w:pPr>
            <w:r>
              <w:rPr>
                <w:b/>
                <w:bCs/>
                <w:color w:val="2563EB"/>
                <w:sz w:val="20"/>
                <w:szCs w:val="20"/>
              </w:rPr>
              <w:t>Stage</w:t>
            </w:r>
          </w:p>
        </w:tc>
        <w:tc>
          <w:tcPr>
            <w:tcW w:w="6600" w:type="dxa"/>
            <w:tcBorders>
              <w:top w:val="single" w:sz="1" w:space="0" w:color="2563EB"/>
              <w:left w:val="single" w:sz="1" w:space="0" w:color="2563EB"/>
              <w:bottom w:val="single" w:sz="1" w:space="0" w:color="2563EB"/>
              <w:right w:val="single" w:sz="1" w:space="0" w:color="2563EB"/>
            </w:tcBorders>
            <w:shd w:val="clear" w:color="auto" w:fill="EFF6FF"/>
            <w:tcMar>
              <w:top w:w="80" w:type="dxa"/>
              <w:left w:w="120" w:type="dxa"/>
              <w:bottom w:w="80" w:type="dxa"/>
              <w:right w:w="120" w:type="dxa"/>
            </w:tcMar>
          </w:tcPr>
          <w:p w14:paraId="613A4B3E" w14:textId="77777777" w:rsidR="009030C8" w:rsidRDefault="00000000">
            <w:pPr>
              <w:spacing w:line="276" w:lineRule="auto"/>
            </w:pPr>
            <w:r>
              <w:rPr>
                <w:b/>
                <w:bCs/>
                <w:color w:val="2563EB"/>
                <w:sz w:val="20"/>
                <w:szCs w:val="20"/>
              </w:rPr>
              <w:t>Description</w:t>
            </w:r>
          </w:p>
        </w:tc>
      </w:tr>
      <w:tr w:rsidR="009030C8" w14:paraId="5B83FD44" w14:textId="77777777">
        <w:tblPrEx>
          <w:tblCellMar>
            <w:top w:w="0" w:type="dxa"/>
            <w:bottom w:w="0" w:type="dxa"/>
          </w:tblCellMar>
        </w:tblPrEx>
        <w:tc>
          <w:tcPr>
            <w:tcW w:w="720" w:type="dxa"/>
            <w:tcBorders>
              <w:top w:val="single" w:sz="1" w:space="0" w:color="D1D5DB"/>
              <w:left w:val="single" w:sz="1" w:space="0" w:color="D1D5DB"/>
              <w:bottom w:val="single" w:sz="1" w:space="0" w:color="D1D5DB"/>
              <w:right w:val="single" w:sz="1" w:space="0" w:color="D1D5DB"/>
            </w:tcBorders>
            <w:shd w:val="clear" w:color="auto" w:fill="F9FAFB"/>
            <w:tcMar>
              <w:top w:w="80" w:type="dxa"/>
              <w:left w:w="120" w:type="dxa"/>
              <w:bottom w:w="80" w:type="dxa"/>
              <w:right w:w="120" w:type="dxa"/>
            </w:tcMar>
          </w:tcPr>
          <w:p w14:paraId="10D57622" w14:textId="77777777" w:rsidR="009030C8" w:rsidRDefault="00000000">
            <w:pPr>
              <w:spacing w:line="276" w:lineRule="auto"/>
            </w:pPr>
            <w:r>
              <w:rPr>
                <w:b/>
                <w:bCs/>
                <w:color w:val="111827"/>
                <w:sz w:val="20"/>
                <w:szCs w:val="20"/>
              </w:rPr>
              <w:t>1</w:t>
            </w:r>
          </w:p>
        </w:tc>
        <w:tc>
          <w:tcPr>
            <w:tcW w:w="2040" w:type="dxa"/>
            <w:tcBorders>
              <w:top w:val="single" w:sz="1" w:space="0" w:color="D1D5DB"/>
              <w:left w:val="single" w:sz="1" w:space="0" w:color="D1D5DB"/>
              <w:bottom w:val="single" w:sz="1" w:space="0" w:color="D1D5DB"/>
              <w:right w:val="single" w:sz="1" w:space="0" w:color="D1D5DB"/>
            </w:tcBorders>
            <w:shd w:val="clear" w:color="auto" w:fill="F9FAFB"/>
            <w:tcMar>
              <w:top w:w="80" w:type="dxa"/>
              <w:left w:w="120" w:type="dxa"/>
              <w:bottom w:w="80" w:type="dxa"/>
              <w:right w:w="120" w:type="dxa"/>
            </w:tcMar>
          </w:tcPr>
          <w:p w14:paraId="6821ABEC" w14:textId="77777777" w:rsidR="009030C8" w:rsidRDefault="00000000">
            <w:pPr>
              <w:spacing w:line="276" w:lineRule="auto"/>
            </w:pPr>
            <w:r>
              <w:rPr>
                <w:b/>
                <w:bCs/>
                <w:color w:val="111827"/>
                <w:sz w:val="20"/>
                <w:szCs w:val="20"/>
              </w:rPr>
              <w:t>Data Collection</w:t>
            </w:r>
          </w:p>
        </w:tc>
        <w:tc>
          <w:tcPr>
            <w:tcW w:w="6600" w:type="dxa"/>
            <w:tcBorders>
              <w:top w:val="single" w:sz="1" w:space="0" w:color="D1D5DB"/>
              <w:left w:val="single" w:sz="1" w:space="0" w:color="D1D5DB"/>
              <w:bottom w:val="single" w:sz="1" w:space="0" w:color="D1D5DB"/>
              <w:right w:val="single" w:sz="1" w:space="0" w:color="D1D5DB"/>
            </w:tcBorders>
            <w:shd w:val="clear" w:color="auto" w:fill="F9FAFB"/>
            <w:tcMar>
              <w:top w:w="80" w:type="dxa"/>
              <w:left w:w="120" w:type="dxa"/>
              <w:bottom w:w="80" w:type="dxa"/>
              <w:right w:w="120" w:type="dxa"/>
            </w:tcMar>
          </w:tcPr>
          <w:p w14:paraId="6ECD7810" w14:textId="77777777" w:rsidR="009030C8" w:rsidRDefault="00000000">
            <w:pPr>
              <w:spacing w:line="276" w:lineRule="auto"/>
            </w:pPr>
            <w:r>
              <w:rPr>
                <w:sz w:val="20"/>
                <w:szCs w:val="20"/>
              </w:rPr>
              <w:t>Massive text corpora assembled from web crawls, books, code repositories, and academic papers—typically 15–45 trillion tokens. Aggressive quality filtering removes duplicate, toxic, and low-signal content.</w:t>
            </w:r>
          </w:p>
        </w:tc>
      </w:tr>
      <w:tr w:rsidR="009030C8" w14:paraId="55CE328D" w14:textId="77777777">
        <w:tblPrEx>
          <w:tblCellMar>
            <w:top w:w="0" w:type="dxa"/>
            <w:bottom w:w="0" w:type="dxa"/>
          </w:tblCellMar>
        </w:tblPrEx>
        <w:tc>
          <w:tcPr>
            <w:tcW w:w="720" w:type="dxa"/>
            <w:tcBorders>
              <w:top w:val="single" w:sz="1" w:space="0" w:color="D1D5DB"/>
              <w:left w:val="single" w:sz="1" w:space="0" w:color="D1D5DB"/>
              <w:bottom w:val="single" w:sz="1" w:space="0" w:color="D1D5DB"/>
              <w:right w:val="single" w:sz="1" w:space="0" w:color="D1D5DB"/>
            </w:tcBorders>
            <w:shd w:val="clear" w:color="auto" w:fill="FFFFFF"/>
            <w:tcMar>
              <w:top w:w="80" w:type="dxa"/>
              <w:left w:w="120" w:type="dxa"/>
              <w:bottom w:w="80" w:type="dxa"/>
              <w:right w:w="120" w:type="dxa"/>
            </w:tcMar>
          </w:tcPr>
          <w:p w14:paraId="7197F27E" w14:textId="77777777" w:rsidR="009030C8" w:rsidRDefault="00000000">
            <w:pPr>
              <w:spacing w:line="276" w:lineRule="auto"/>
            </w:pPr>
            <w:r>
              <w:rPr>
                <w:b/>
                <w:bCs/>
                <w:color w:val="111827"/>
                <w:sz w:val="20"/>
                <w:szCs w:val="20"/>
              </w:rPr>
              <w:t>2</w:t>
            </w:r>
          </w:p>
        </w:tc>
        <w:tc>
          <w:tcPr>
            <w:tcW w:w="2040" w:type="dxa"/>
            <w:tcBorders>
              <w:top w:val="single" w:sz="1" w:space="0" w:color="D1D5DB"/>
              <w:left w:val="single" w:sz="1" w:space="0" w:color="D1D5DB"/>
              <w:bottom w:val="single" w:sz="1" w:space="0" w:color="D1D5DB"/>
              <w:right w:val="single" w:sz="1" w:space="0" w:color="D1D5DB"/>
            </w:tcBorders>
            <w:shd w:val="clear" w:color="auto" w:fill="FFFFFF"/>
            <w:tcMar>
              <w:top w:w="80" w:type="dxa"/>
              <w:left w:w="120" w:type="dxa"/>
              <w:bottom w:w="80" w:type="dxa"/>
              <w:right w:w="120" w:type="dxa"/>
            </w:tcMar>
          </w:tcPr>
          <w:p w14:paraId="6D3EAEFA" w14:textId="77777777" w:rsidR="009030C8" w:rsidRDefault="00000000">
            <w:pPr>
              <w:spacing w:line="276" w:lineRule="auto"/>
            </w:pPr>
            <w:r>
              <w:rPr>
                <w:b/>
                <w:bCs/>
                <w:color w:val="111827"/>
                <w:sz w:val="20"/>
                <w:szCs w:val="20"/>
              </w:rPr>
              <w:t>Tokenization</w:t>
            </w:r>
          </w:p>
        </w:tc>
        <w:tc>
          <w:tcPr>
            <w:tcW w:w="6600" w:type="dxa"/>
            <w:tcBorders>
              <w:top w:val="single" w:sz="1" w:space="0" w:color="D1D5DB"/>
              <w:left w:val="single" w:sz="1" w:space="0" w:color="D1D5DB"/>
              <w:bottom w:val="single" w:sz="1" w:space="0" w:color="D1D5DB"/>
              <w:right w:val="single" w:sz="1" w:space="0" w:color="D1D5DB"/>
            </w:tcBorders>
            <w:shd w:val="clear" w:color="auto" w:fill="FFFFFF"/>
            <w:tcMar>
              <w:top w:w="80" w:type="dxa"/>
              <w:left w:w="120" w:type="dxa"/>
              <w:bottom w:w="80" w:type="dxa"/>
              <w:right w:w="120" w:type="dxa"/>
            </w:tcMar>
          </w:tcPr>
          <w:p w14:paraId="18CB998B" w14:textId="77777777" w:rsidR="009030C8" w:rsidRDefault="00000000">
            <w:pPr>
              <w:spacing w:line="276" w:lineRule="auto"/>
            </w:pPr>
            <w:r>
              <w:rPr>
                <w:sz w:val="20"/>
                <w:szCs w:val="20"/>
              </w:rPr>
              <w:t xml:space="preserve">Text converted to integer token sequences using Byte Pair Encoding (BPE) or </w:t>
            </w:r>
            <w:proofErr w:type="spellStart"/>
            <w:r>
              <w:rPr>
                <w:sz w:val="20"/>
                <w:szCs w:val="20"/>
              </w:rPr>
              <w:t>SentencePiece</w:t>
            </w:r>
            <w:proofErr w:type="spellEnd"/>
            <w:r>
              <w:rPr>
                <w:sz w:val="20"/>
                <w:szCs w:val="20"/>
              </w:rPr>
              <w:t>. Vocabulary sizes range from 32,000 to 128,000 tokens.</w:t>
            </w:r>
          </w:p>
        </w:tc>
      </w:tr>
      <w:tr w:rsidR="009030C8" w14:paraId="03D46F42" w14:textId="77777777">
        <w:tblPrEx>
          <w:tblCellMar>
            <w:top w:w="0" w:type="dxa"/>
            <w:bottom w:w="0" w:type="dxa"/>
          </w:tblCellMar>
        </w:tblPrEx>
        <w:tc>
          <w:tcPr>
            <w:tcW w:w="720" w:type="dxa"/>
            <w:tcBorders>
              <w:top w:val="single" w:sz="1" w:space="0" w:color="D1D5DB"/>
              <w:left w:val="single" w:sz="1" w:space="0" w:color="D1D5DB"/>
              <w:bottom w:val="single" w:sz="1" w:space="0" w:color="D1D5DB"/>
              <w:right w:val="single" w:sz="1" w:space="0" w:color="D1D5DB"/>
            </w:tcBorders>
            <w:shd w:val="clear" w:color="auto" w:fill="F9FAFB"/>
            <w:tcMar>
              <w:top w:w="80" w:type="dxa"/>
              <w:left w:w="120" w:type="dxa"/>
              <w:bottom w:w="80" w:type="dxa"/>
              <w:right w:w="120" w:type="dxa"/>
            </w:tcMar>
          </w:tcPr>
          <w:p w14:paraId="627628E2" w14:textId="77777777" w:rsidR="009030C8" w:rsidRDefault="00000000">
            <w:pPr>
              <w:spacing w:line="276" w:lineRule="auto"/>
            </w:pPr>
            <w:r>
              <w:rPr>
                <w:b/>
                <w:bCs/>
                <w:color w:val="111827"/>
                <w:sz w:val="20"/>
                <w:szCs w:val="20"/>
              </w:rPr>
              <w:t>3</w:t>
            </w:r>
          </w:p>
        </w:tc>
        <w:tc>
          <w:tcPr>
            <w:tcW w:w="2040" w:type="dxa"/>
            <w:tcBorders>
              <w:top w:val="single" w:sz="1" w:space="0" w:color="D1D5DB"/>
              <w:left w:val="single" w:sz="1" w:space="0" w:color="D1D5DB"/>
              <w:bottom w:val="single" w:sz="1" w:space="0" w:color="D1D5DB"/>
              <w:right w:val="single" w:sz="1" w:space="0" w:color="D1D5DB"/>
            </w:tcBorders>
            <w:shd w:val="clear" w:color="auto" w:fill="F9FAFB"/>
            <w:tcMar>
              <w:top w:w="80" w:type="dxa"/>
              <w:left w:w="120" w:type="dxa"/>
              <w:bottom w:w="80" w:type="dxa"/>
              <w:right w:w="120" w:type="dxa"/>
            </w:tcMar>
          </w:tcPr>
          <w:p w14:paraId="6A0B41E3" w14:textId="77777777" w:rsidR="009030C8" w:rsidRDefault="00000000">
            <w:pPr>
              <w:spacing w:line="276" w:lineRule="auto"/>
            </w:pPr>
            <w:r>
              <w:rPr>
                <w:b/>
                <w:bCs/>
                <w:color w:val="111827"/>
                <w:sz w:val="20"/>
                <w:szCs w:val="20"/>
              </w:rPr>
              <w:t>Architecture Design</w:t>
            </w:r>
          </w:p>
        </w:tc>
        <w:tc>
          <w:tcPr>
            <w:tcW w:w="6600" w:type="dxa"/>
            <w:tcBorders>
              <w:top w:val="single" w:sz="1" w:space="0" w:color="D1D5DB"/>
              <w:left w:val="single" w:sz="1" w:space="0" w:color="D1D5DB"/>
              <w:bottom w:val="single" w:sz="1" w:space="0" w:color="D1D5DB"/>
              <w:right w:val="single" w:sz="1" w:space="0" w:color="D1D5DB"/>
            </w:tcBorders>
            <w:shd w:val="clear" w:color="auto" w:fill="F9FAFB"/>
            <w:tcMar>
              <w:top w:w="80" w:type="dxa"/>
              <w:left w:w="120" w:type="dxa"/>
              <w:bottom w:w="80" w:type="dxa"/>
              <w:right w:w="120" w:type="dxa"/>
            </w:tcMar>
          </w:tcPr>
          <w:p w14:paraId="4CEB8EDC" w14:textId="77777777" w:rsidR="009030C8" w:rsidRDefault="00000000">
            <w:pPr>
              <w:spacing w:line="276" w:lineRule="auto"/>
            </w:pPr>
            <w:r>
              <w:rPr>
                <w:sz w:val="20"/>
                <w:szCs w:val="20"/>
              </w:rPr>
              <w:t>Transformer layers, attention heads, hidden dimensions, and parameter count are finalized. Modern frontier models range from 7 billion to an estimated 1.8 trillion parameters.</w:t>
            </w:r>
          </w:p>
        </w:tc>
      </w:tr>
      <w:tr w:rsidR="009030C8" w14:paraId="6F309ACB" w14:textId="77777777">
        <w:tblPrEx>
          <w:tblCellMar>
            <w:top w:w="0" w:type="dxa"/>
            <w:bottom w:w="0" w:type="dxa"/>
          </w:tblCellMar>
        </w:tblPrEx>
        <w:tc>
          <w:tcPr>
            <w:tcW w:w="720" w:type="dxa"/>
            <w:tcBorders>
              <w:top w:val="single" w:sz="1" w:space="0" w:color="D1D5DB"/>
              <w:left w:val="single" w:sz="1" w:space="0" w:color="D1D5DB"/>
              <w:bottom w:val="single" w:sz="1" w:space="0" w:color="D1D5DB"/>
              <w:right w:val="single" w:sz="1" w:space="0" w:color="D1D5DB"/>
            </w:tcBorders>
            <w:shd w:val="clear" w:color="auto" w:fill="FFFFFF"/>
            <w:tcMar>
              <w:top w:w="80" w:type="dxa"/>
              <w:left w:w="120" w:type="dxa"/>
              <w:bottom w:w="80" w:type="dxa"/>
              <w:right w:w="120" w:type="dxa"/>
            </w:tcMar>
          </w:tcPr>
          <w:p w14:paraId="07BCE895" w14:textId="77777777" w:rsidR="009030C8" w:rsidRDefault="00000000">
            <w:pPr>
              <w:spacing w:line="276" w:lineRule="auto"/>
            </w:pPr>
            <w:r>
              <w:rPr>
                <w:b/>
                <w:bCs/>
                <w:color w:val="111827"/>
                <w:sz w:val="20"/>
                <w:szCs w:val="20"/>
              </w:rPr>
              <w:t>4</w:t>
            </w:r>
          </w:p>
        </w:tc>
        <w:tc>
          <w:tcPr>
            <w:tcW w:w="2040" w:type="dxa"/>
            <w:tcBorders>
              <w:top w:val="single" w:sz="1" w:space="0" w:color="D1D5DB"/>
              <w:left w:val="single" w:sz="1" w:space="0" w:color="D1D5DB"/>
              <w:bottom w:val="single" w:sz="1" w:space="0" w:color="D1D5DB"/>
              <w:right w:val="single" w:sz="1" w:space="0" w:color="D1D5DB"/>
            </w:tcBorders>
            <w:shd w:val="clear" w:color="auto" w:fill="FFFFFF"/>
            <w:tcMar>
              <w:top w:w="80" w:type="dxa"/>
              <w:left w:w="120" w:type="dxa"/>
              <w:bottom w:w="80" w:type="dxa"/>
              <w:right w:w="120" w:type="dxa"/>
            </w:tcMar>
          </w:tcPr>
          <w:p w14:paraId="7533590B" w14:textId="77777777" w:rsidR="009030C8" w:rsidRDefault="00000000">
            <w:pPr>
              <w:spacing w:line="276" w:lineRule="auto"/>
            </w:pPr>
            <w:r>
              <w:rPr>
                <w:b/>
                <w:bCs/>
                <w:color w:val="111827"/>
                <w:sz w:val="20"/>
                <w:szCs w:val="20"/>
              </w:rPr>
              <w:t>Pre-Training</w:t>
            </w:r>
          </w:p>
        </w:tc>
        <w:tc>
          <w:tcPr>
            <w:tcW w:w="6600" w:type="dxa"/>
            <w:tcBorders>
              <w:top w:val="single" w:sz="1" w:space="0" w:color="D1D5DB"/>
              <w:left w:val="single" w:sz="1" w:space="0" w:color="D1D5DB"/>
              <w:bottom w:val="single" w:sz="1" w:space="0" w:color="D1D5DB"/>
              <w:right w:val="single" w:sz="1" w:space="0" w:color="D1D5DB"/>
            </w:tcBorders>
            <w:shd w:val="clear" w:color="auto" w:fill="FFFFFF"/>
            <w:tcMar>
              <w:top w:w="80" w:type="dxa"/>
              <w:left w:w="120" w:type="dxa"/>
              <w:bottom w:w="80" w:type="dxa"/>
              <w:right w:w="120" w:type="dxa"/>
            </w:tcMar>
          </w:tcPr>
          <w:p w14:paraId="4DEBEEAF" w14:textId="77777777" w:rsidR="009030C8" w:rsidRDefault="00000000">
            <w:pPr>
              <w:spacing w:line="276" w:lineRule="auto"/>
            </w:pPr>
            <w:r>
              <w:rPr>
                <w:sz w:val="20"/>
                <w:szCs w:val="20"/>
              </w:rPr>
              <w:t xml:space="preserve">The core phase: predicting the next token across trillions of examples, distributed across 10,000–25,000 GPU or TPU accelerators. Runs for weeks to months using the </w:t>
            </w:r>
            <w:proofErr w:type="spellStart"/>
            <w:r>
              <w:rPr>
                <w:sz w:val="20"/>
                <w:szCs w:val="20"/>
              </w:rPr>
              <w:t>AdamW</w:t>
            </w:r>
            <w:proofErr w:type="spellEnd"/>
            <w:r>
              <w:rPr>
                <w:sz w:val="20"/>
                <w:szCs w:val="20"/>
              </w:rPr>
              <w:t xml:space="preserve"> optimizer.</w:t>
            </w:r>
          </w:p>
        </w:tc>
      </w:tr>
      <w:tr w:rsidR="009030C8" w14:paraId="424151D8" w14:textId="77777777">
        <w:tblPrEx>
          <w:tblCellMar>
            <w:top w:w="0" w:type="dxa"/>
            <w:bottom w:w="0" w:type="dxa"/>
          </w:tblCellMar>
        </w:tblPrEx>
        <w:tc>
          <w:tcPr>
            <w:tcW w:w="720" w:type="dxa"/>
            <w:tcBorders>
              <w:top w:val="single" w:sz="1" w:space="0" w:color="D1D5DB"/>
              <w:left w:val="single" w:sz="1" w:space="0" w:color="D1D5DB"/>
              <w:bottom w:val="single" w:sz="1" w:space="0" w:color="D1D5DB"/>
              <w:right w:val="single" w:sz="1" w:space="0" w:color="D1D5DB"/>
            </w:tcBorders>
            <w:shd w:val="clear" w:color="auto" w:fill="F9FAFB"/>
            <w:tcMar>
              <w:top w:w="80" w:type="dxa"/>
              <w:left w:w="120" w:type="dxa"/>
              <w:bottom w:w="80" w:type="dxa"/>
              <w:right w:w="120" w:type="dxa"/>
            </w:tcMar>
          </w:tcPr>
          <w:p w14:paraId="36AF5B2D" w14:textId="77777777" w:rsidR="009030C8" w:rsidRDefault="00000000">
            <w:pPr>
              <w:spacing w:line="276" w:lineRule="auto"/>
            </w:pPr>
            <w:r>
              <w:rPr>
                <w:b/>
                <w:bCs/>
                <w:color w:val="111827"/>
                <w:sz w:val="20"/>
                <w:szCs w:val="20"/>
              </w:rPr>
              <w:t>5</w:t>
            </w:r>
          </w:p>
        </w:tc>
        <w:tc>
          <w:tcPr>
            <w:tcW w:w="2040" w:type="dxa"/>
            <w:tcBorders>
              <w:top w:val="single" w:sz="1" w:space="0" w:color="D1D5DB"/>
              <w:left w:val="single" w:sz="1" w:space="0" w:color="D1D5DB"/>
              <w:bottom w:val="single" w:sz="1" w:space="0" w:color="D1D5DB"/>
              <w:right w:val="single" w:sz="1" w:space="0" w:color="D1D5DB"/>
            </w:tcBorders>
            <w:shd w:val="clear" w:color="auto" w:fill="F9FAFB"/>
            <w:tcMar>
              <w:top w:w="80" w:type="dxa"/>
              <w:left w:w="120" w:type="dxa"/>
              <w:bottom w:w="80" w:type="dxa"/>
              <w:right w:w="120" w:type="dxa"/>
            </w:tcMar>
          </w:tcPr>
          <w:p w14:paraId="0049A9BD" w14:textId="77777777" w:rsidR="009030C8" w:rsidRDefault="00000000">
            <w:pPr>
              <w:spacing w:line="276" w:lineRule="auto"/>
            </w:pPr>
            <w:r>
              <w:rPr>
                <w:b/>
                <w:bCs/>
                <w:color w:val="111827"/>
                <w:sz w:val="20"/>
                <w:szCs w:val="20"/>
              </w:rPr>
              <w:t>Fine-Tuning &amp; RLHF</w:t>
            </w:r>
          </w:p>
        </w:tc>
        <w:tc>
          <w:tcPr>
            <w:tcW w:w="6600" w:type="dxa"/>
            <w:tcBorders>
              <w:top w:val="single" w:sz="1" w:space="0" w:color="D1D5DB"/>
              <w:left w:val="single" w:sz="1" w:space="0" w:color="D1D5DB"/>
              <w:bottom w:val="single" w:sz="1" w:space="0" w:color="D1D5DB"/>
              <w:right w:val="single" w:sz="1" w:space="0" w:color="D1D5DB"/>
            </w:tcBorders>
            <w:shd w:val="clear" w:color="auto" w:fill="F9FAFB"/>
            <w:tcMar>
              <w:top w:w="80" w:type="dxa"/>
              <w:left w:w="120" w:type="dxa"/>
              <w:bottom w:w="80" w:type="dxa"/>
              <w:right w:w="120" w:type="dxa"/>
            </w:tcMar>
          </w:tcPr>
          <w:p w14:paraId="250169B7" w14:textId="77777777" w:rsidR="009030C8" w:rsidRDefault="00000000">
            <w:pPr>
              <w:spacing w:line="276" w:lineRule="auto"/>
            </w:pPr>
            <w:r>
              <w:rPr>
                <w:sz w:val="20"/>
                <w:szCs w:val="20"/>
              </w:rPr>
              <w:t>Supervised fine-tuning on high-quality demonstrations, followed by reinforcement learning from human feedback (RLHF) using reward models trained on preference rankings.</w:t>
            </w:r>
          </w:p>
        </w:tc>
      </w:tr>
      <w:tr w:rsidR="009030C8" w14:paraId="78C9081D" w14:textId="77777777">
        <w:tblPrEx>
          <w:tblCellMar>
            <w:top w:w="0" w:type="dxa"/>
            <w:bottom w:w="0" w:type="dxa"/>
          </w:tblCellMar>
        </w:tblPrEx>
        <w:tc>
          <w:tcPr>
            <w:tcW w:w="720" w:type="dxa"/>
            <w:tcBorders>
              <w:top w:val="single" w:sz="1" w:space="0" w:color="D1D5DB"/>
              <w:left w:val="single" w:sz="1" w:space="0" w:color="D1D5DB"/>
              <w:bottom w:val="single" w:sz="1" w:space="0" w:color="D1D5DB"/>
              <w:right w:val="single" w:sz="1" w:space="0" w:color="D1D5DB"/>
            </w:tcBorders>
            <w:shd w:val="clear" w:color="auto" w:fill="FFFFFF"/>
            <w:tcMar>
              <w:top w:w="80" w:type="dxa"/>
              <w:left w:w="120" w:type="dxa"/>
              <w:bottom w:w="80" w:type="dxa"/>
              <w:right w:w="120" w:type="dxa"/>
            </w:tcMar>
          </w:tcPr>
          <w:p w14:paraId="5EEDB4D1" w14:textId="77777777" w:rsidR="009030C8" w:rsidRDefault="00000000">
            <w:pPr>
              <w:spacing w:line="276" w:lineRule="auto"/>
            </w:pPr>
            <w:r>
              <w:rPr>
                <w:b/>
                <w:bCs/>
                <w:color w:val="111827"/>
                <w:sz w:val="20"/>
                <w:szCs w:val="20"/>
              </w:rPr>
              <w:t>6</w:t>
            </w:r>
          </w:p>
        </w:tc>
        <w:tc>
          <w:tcPr>
            <w:tcW w:w="2040" w:type="dxa"/>
            <w:tcBorders>
              <w:top w:val="single" w:sz="1" w:space="0" w:color="D1D5DB"/>
              <w:left w:val="single" w:sz="1" w:space="0" w:color="D1D5DB"/>
              <w:bottom w:val="single" w:sz="1" w:space="0" w:color="D1D5DB"/>
              <w:right w:val="single" w:sz="1" w:space="0" w:color="D1D5DB"/>
            </w:tcBorders>
            <w:shd w:val="clear" w:color="auto" w:fill="FFFFFF"/>
            <w:tcMar>
              <w:top w:w="80" w:type="dxa"/>
              <w:left w:w="120" w:type="dxa"/>
              <w:bottom w:w="80" w:type="dxa"/>
              <w:right w:w="120" w:type="dxa"/>
            </w:tcMar>
          </w:tcPr>
          <w:p w14:paraId="603E9E99" w14:textId="77777777" w:rsidR="009030C8" w:rsidRDefault="00000000">
            <w:pPr>
              <w:spacing w:line="276" w:lineRule="auto"/>
            </w:pPr>
            <w:r>
              <w:rPr>
                <w:b/>
                <w:bCs/>
                <w:color w:val="111827"/>
                <w:sz w:val="20"/>
                <w:szCs w:val="20"/>
              </w:rPr>
              <w:t>Safety Evaluation</w:t>
            </w:r>
          </w:p>
        </w:tc>
        <w:tc>
          <w:tcPr>
            <w:tcW w:w="6600" w:type="dxa"/>
            <w:tcBorders>
              <w:top w:val="single" w:sz="1" w:space="0" w:color="D1D5DB"/>
              <w:left w:val="single" w:sz="1" w:space="0" w:color="D1D5DB"/>
              <w:bottom w:val="single" w:sz="1" w:space="0" w:color="D1D5DB"/>
              <w:right w:val="single" w:sz="1" w:space="0" w:color="D1D5DB"/>
            </w:tcBorders>
            <w:shd w:val="clear" w:color="auto" w:fill="FFFFFF"/>
            <w:tcMar>
              <w:top w:w="80" w:type="dxa"/>
              <w:left w:w="120" w:type="dxa"/>
              <w:bottom w:w="80" w:type="dxa"/>
              <w:right w:w="120" w:type="dxa"/>
            </w:tcMar>
          </w:tcPr>
          <w:p w14:paraId="5D574A44" w14:textId="77777777" w:rsidR="009030C8" w:rsidRDefault="00000000">
            <w:pPr>
              <w:spacing w:line="276" w:lineRule="auto"/>
            </w:pPr>
            <w:r>
              <w:rPr>
                <w:sz w:val="20"/>
                <w:szCs w:val="20"/>
              </w:rPr>
              <w:t xml:space="preserve">Benchmarking (MMLU, </w:t>
            </w:r>
            <w:proofErr w:type="spellStart"/>
            <w:r>
              <w:rPr>
                <w:sz w:val="20"/>
                <w:szCs w:val="20"/>
              </w:rPr>
              <w:t>HumanEval</w:t>
            </w:r>
            <w:proofErr w:type="spellEnd"/>
            <w:r>
              <w:rPr>
                <w:sz w:val="20"/>
                <w:szCs w:val="20"/>
              </w:rPr>
              <w:t>, MATH), adversarial red-team exercises, and bias/toxicity audits. Failures feed back into additional fine-tuning cycles before release.</w:t>
            </w:r>
          </w:p>
        </w:tc>
      </w:tr>
      <w:tr w:rsidR="009030C8" w14:paraId="799EF0F7" w14:textId="77777777">
        <w:tblPrEx>
          <w:tblCellMar>
            <w:top w:w="0" w:type="dxa"/>
            <w:bottom w:w="0" w:type="dxa"/>
          </w:tblCellMar>
        </w:tblPrEx>
        <w:tc>
          <w:tcPr>
            <w:tcW w:w="720" w:type="dxa"/>
            <w:tcBorders>
              <w:top w:val="single" w:sz="1" w:space="0" w:color="D1D5DB"/>
              <w:left w:val="single" w:sz="1" w:space="0" w:color="D1D5DB"/>
              <w:bottom w:val="single" w:sz="1" w:space="0" w:color="D1D5DB"/>
              <w:right w:val="single" w:sz="1" w:space="0" w:color="D1D5DB"/>
            </w:tcBorders>
            <w:shd w:val="clear" w:color="auto" w:fill="F9FAFB"/>
            <w:tcMar>
              <w:top w:w="80" w:type="dxa"/>
              <w:left w:w="120" w:type="dxa"/>
              <w:bottom w:w="80" w:type="dxa"/>
              <w:right w:w="120" w:type="dxa"/>
            </w:tcMar>
          </w:tcPr>
          <w:p w14:paraId="53493293" w14:textId="77777777" w:rsidR="009030C8" w:rsidRDefault="00000000">
            <w:pPr>
              <w:spacing w:line="276" w:lineRule="auto"/>
            </w:pPr>
            <w:r>
              <w:rPr>
                <w:b/>
                <w:bCs/>
                <w:color w:val="111827"/>
                <w:sz w:val="20"/>
                <w:szCs w:val="20"/>
              </w:rPr>
              <w:t>7</w:t>
            </w:r>
          </w:p>
        </w:tc>
        <w:tc>
          <w:tcPr>
            <w:tcW w:w="2040" w:type="dxa"/>
            <w:tcBorders>
              <w:top w:val="single" w:sz="1" w:space="0" w:color="D1D5DB"/>
              <w:left w:val="single" w:sz="1" w:space="0" w:color="D1D5DB"/>
              <w:bottom w:val="single" w:sz="1" w:space="0" w:color="D1D5DB"/>
              <w:right w:val="single" w:sz="1" w:space="0" w:color="D1D5DB"/>
            </w:tcBorders>
            <w:shd w:val="clear" w:color="auto" w:fill="F9FAFB"/>
            <w:tcMar>
              <w:top w:w="80" w:type="dxa"/>
              <w:left w:w="120" w:type="dxa"/>
              <w:bottom w:w="80" w:type="dxa"/>
              <w:right w:w="120" w:type="dxa"/>
            </w:tcMar>
          </w:tcPr>
          <w:p w14:paraId="3A261CC6" w14:textId="77777777" w:rsidR="009030C8" w:rsidRDefault="00000000">
            <w:pPr>
              <w:spacing w:line="276" w:lineRule="auto"/>
            </w:pPr>
            <w:r>
              <w:rPr>
                <w:b/>
                <w:bCs/>
                <w:color w:val="111827"/>
                <w:sz w:val="20"/>
                <w:szCs w:val="20"/>
              </w:rPr>
              <w:t>Deployment</w:t>
            </w:r>
          </w:p>
        </w:tc>
        <w:tc>
          <w:tcPr>
            <w:tcW w:w="6600" w:type="dxa"/>
            <w:tcBorders>
              <w:top w:val="single" w:sz="1" w:space="0" w:color="D1D5DB"/>
              <w:left w:val="single" w:sz="1" w:space="0" w:color="D1D5DB"/>
              <w:bottom w:val="single" w:sz="1" w:space="0" w:color="D1D5DB"/>
              <w:right w:val="single" w:sz="1" w:space="0" w:color="D1D5DB"/>
            </w:tcBorders>
            <w:shd w:val="clear" w:color="auto" w:fill="F9FAFB"/>
            <w:tcMar>
              <w:top w:w="80" w:type="dxa"/>
              <w:left w:w="120" w:type="dxa"/>
              <w:bottom w:w="80" w:type="dxa"/>
              <w:right w:w="120" w:type="dxa"/>
            </w:tcMar>
          </w:tcPr>
          <w:p w14:paraId="632ABCEE" w14:textId="77777777" w:rsidR="009030C8" w:rsidRDefault="00000000">
            <w:pPr>
              <w:spacing w:line="276" w:lineRule="auto"/>
            </w:pPr>
            <w:r>
              <w:rPr>
                <w:sz w:val="20"/>
                <w:szCs w:val="20"/>
              </w:rPr>
              <w:t>Weights quantized to INT8/INT4 to reduce memory. Inference engines (</w:t>
            </w:r>
            <w:proofErr w:type="spellStart"/>
            <w:r>
              <w:rPr>
                <w:sz w:val="20"/>
                <w:szCs w:val="20"/>
              </w:rPr>
              <w:t>vLLM</w:t>
            </w:r>
            <w:proofErr w:type="spellEnd"/>
            <w:r>
              <w:rPr>
                <w:sz w:val="20"/>
                <w:szCs w:val="20"/>
              </w:rPr>
              <w:t xml:space="preserve">, </w:t>
            </w:r>
            <w:proofErr w:type="spellStart"/>
            <w:r>
              <w:rPr>
                <w:sz w:val="20"/>
                <w:szCs w:val="20"/>
              </w:rPr>
              <w:t>TensorRT</w:t>
            </w:r>
            <w:proofErr w:type="spellEnd"/>
            <w:r>
              <w:rPr>
                <w:sz w:val="20"/>
                <w:szCs w:val="20"/>
              </w:rPr>
              <w:t>) maximize throughput. API safety filters deployed. Cost: ~$0.002–$0.06 per 1K output tokens.</w:t>
            </w:r>
          </w:p>
        </w:tc>
      </w:tr>
    </w:tbl>
    <w:p w14:paraId="4DAE4AA9" w14:textId="31B52D07" w:rsidR="009030C8" w:rsidRDefault="009030C8"/>
    <w:p w14:paraId="32730D83" w14:textId="77777777" w:rsidR="009030C8" w:rsidRDefault="00000000">
      <w:pPr>
        <w:pBdr>
          <w:bottom w:val="single" w:sz="4" w:space="4" w:color="2563EB"/>
        </w:pBdr>
        <w:spacing w:before="200" w:after="80" w:line="276" w:lineRule="auto"/>
      </w:pPr>
      <w:r>
        <w:rPr>
          <w:b/>
          <w:bCs/>
          <w:color w:val="111827"/>
          <w:sz w:val="28"/>
          <w:szCs w:val="28"/>
        </w:rPr>
        <w:lastRenderedPageBreak/>
        <w:t>Resource Costs by Model</w:t>
      </w:r>
    </w:p>
    <w:p w14:paraId="02DA2573" w14:textId="77777777" w:rsidR="009030C8" w:rsidRDefault="00000000">
      <w:pPr>
        <w:spacing w:after="100" w:line="276" w:lineRule="auto"/>
      </w:pPr>
      <w:r>
        <w:t>Training costs vary significantly by model scale. Closed-source companies rarely disclose full training details, so values marked (est.) are independent analyst estimates based on disclosed hardware configurations and cloud compute pricing benchmarks.</w:t>
      </w:r>
    </w:p>
    <w:p w14:paraId="05DB4B80" w14:textId="77777777" w:rsidR="009030C8" w:rsidRDefault="009030C8">
      <w:pPr>
        <w:spacing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160"/>
        <w:gridCol w:w="1560"/>
        <w:gridCol w:w="1440"/>
        <w:gridCol w:w="1560"/>
        <w:gridCol w:w="1320"/>
        <w:gridCol w:w="1320"/>
      </w:tblGrid>
      <w:tr w:rsidR="009030C8" w14:paraId="460AB5D4" w14:textId="77777777">
        <w:tblPrEx>
          <w:tblCellMar>
            <w:top w:w="0" w:type="dxa"/>
            <w:bottom w:w="0" w:type="dxa"/>
          </w:tblCellMar>
        </w:tblPrEx>
        <w:tc>
          <w:tcPr>
            <w:tcW w:w="2160" w:type="dxa"/>
            <w:tcBorders>
              <w:top w:val="single" w:sz="1" w:space="0" w:color="2563EB"/>
              <w:left w:val="single" w:sz="1" w:space="0" w:color="2563EB"/>
              <w:bottom w:val="single" w:sz="1" w:space="0" w:color="2563EB"/>
              <w:right w:val="single" w:sz="1" w:space="0" w:color="2563EB"/>
            </w:tcBorders>
            <w:shd w:val="clear" w:color="auto" w:fill="EFF6FF"/>
            <w:tcMar>
              <w:top w:w="80" w:type="dxa"/>
              <w:left w:w="120" w:type="dxa"/>
              <w:bottom w:w="80" w:type="dxa"/>
              <w:right w:w="120" w:type="dxa"/>
            </w:tcMar>
          </w:tcPr>
          <w:p w14:paraId="48EC331C" w14:textId="77777777" w:rsidR="009030C8" w:rsidRDefault="00000000">
            <w:pPr>
              <w:spacing w:line="276" w:lineRule="auto"/>
            </w:pPr>
            <w:r>
              <w:rPr>
                <w:b/>
                <w:bCs/>
                <w:color w:val="2563EB"/>
                <w:sz w:val="20"/>
                <w:szCs w:val="20"/>
              </w:rPr>
              <w:t>Model</w:t>
            </w:r>
          </w:p>
        </w:tc>
        <w:tc>
          <w:tcPr>
            <w:tcW w:w="1560" w:type="dxa"/>
            <w:tcBorders>
              <w:top w:val="single" w:sz="1" w:space="0" w:color="2563EB"/>
              <w:left w:val="single" w:sz="1" w:space="0" w:color="2563EB"/>
              <w:bottom w:val="single" w:sz="1" w:space="0" w:color="2563EB"/>
              <w:right w:val="single" w:sz="1" w:space="0" w:color="2563EB"/>
            </w:tcBorders>
            <w:shd w:val="clear" w:color="auto" w:fill="EFF6FF"/>
            <w:tcMar>
              <w:top w:w="80" w:type="dxa"/>
              <w:left w:w="120" w:type="dxa"/>
              <w:bottom w:w="80" w:type="dxa"/>
              <w:right w:w="120" w:type="dxa"/>
            </w:tcMar>
          </w:tcPr>
          <w:p w14:paraId="2871A032" w14:textId="77777777" w:rsidR="009030C8" w:rsidRDefault="00000000">
            <w:pPr>
              <w:spacing w:line="276" w:lineRule="auto"/>
            </w:pPr>
            <w:r>
              <w:rPr>
                <w:b/>
                <w:bCs/>
                <w:color w:val="2563EB"/>
                <w:sz w:val="20"/>
                <w:szCs w:val="20"/>
              </w:rPr>
              <w:t>Parameters</w:t>
            </w:r>
          </w:p>
        </w:tc>
        <w:tc>
          <w:tcPr>
            <w:tcW w:w="1440" w:type="dxa"/>
            <w:tcBorders>
              <w:top w:val="single" w:sz="1" w:space="0" w:color="2563EB"/>
              <w:left w:val="single" w:sz="1" w:space="0" w:color="2563EB"/>
              <w:bottom w:val="single" w:sz="1" w:space="0" w:color="2563EB"/>
              <w:right w:val="single" w:sz="1" w:space="0" w:color="2563EB"/>
            </w:tcBorders>
            <w:shd w:val="clear" w:color="auto" w:fill="EFF6FF"/>
            <w:tcMar>
              <w:top w:w="80" w:type="dxa"/>
              <w:left w:w="120" w:type="dxa"/>
              <w:bottom w:w="80" w:type="dxa"/>
              <w:right w:w="120" w:type="dxa"/>
            </w:tcMar>
          </w:tcPr>
          <w:p w14:paraId="2A1B66FF" w14:textId="77777777" w:rsidR="009030C8" w:rsidRDefault="00000000">
            <w:pPr>
              <w:spacing w:line="276" w:lineRule="auto"/>
            </w:pPr>
            <w:r>
              <w:rPr>
                <w:b/>
                <w:bCs/>
                <w:color w:val="2563EB"/>
                <w:sz w:val="20"/>
                <w:szCs w:val="20"/>
              </w:rPr>
              <w:t>Training Tokens</w:t>
            </w:r>
          </w:p>
        </w:tc>
        <w:tc>
          <w:tcPr>
            <w:tcW w:w="1560" w:type="dxa"/>
            <w:tcBorders>
              <w:top w:val="single" w:sz="1" w:space="0" w:color="2563EB"/>
              <w:left w:val="single" w:sz="1" w:space="0" w:color="2563EB"/>
              <w:bottom w:val="single" w:sz="1" w:space="0" w:color="2563EB"/>
              <w:right w:val="single" w:sz="1" w:space="0" w:color="2563EB"/>
            </w:tcBorders>
            <w:shd w:val="clear" w:color="auto" w:fill="EFF6FF"/>
            <w:tcMar>
              <w:top w:w="80" w:type="dxa"/>
              <w:left w:w="120" w:type="dxa"/>
              <w:bottom w:w="80" w:type="dxa"/>
              <w:right w:w="120" w:type="dxa"/>
            </w:tcMar>
          </w:tcPr>
          <w:p w14:paraId="784B0D64" w14:textId="77777777" w:rsidR="009030C8" w:rsidRDefault="00000000">
            <w:pPr>
              <w:spacing w:line="276" w:lineRule="auto"/>
            </w:pPr>
            <w:r>
              <w:rPr>
                <w:b/>
                <w:bCs/>
                <w:color w:val="2563EB"/>
                <w:sz w:val="20"/>
                <w:szCs w:val="20"/>
              </w:rPr>
              <w:t>Compute</w:t>
            </w:r>
          </w:p>
        </w:tc>
        <w:tc>
          <w:tcPr>
            <w:tcW w:w="1320" w:type="dxa"/>
            <w:tcBorders>
              <w:top w:val="single" w:sz="1" w:space="0" w:color="2563EB"/>
              <w:left w:val="single" w:sz="1" w:space="0" w:color="2563EB"/>
              <w:bottom w:val="single" w:sz="1" w:space="0" w:color="2563EB"/>
              <w:right w:val="single" w:sz="1" w:space="0" w:color="2563EB"/>
            </w:tcBorders>
            <w:shd w:val="clear" w:color="auto" w:fill="EFF6FF"/>
            <w:tcMar>
              <w:top w:w="80" w:type="dxa"/>
              <w:left w:w="120" w:type="dxa"/>
              <w:bottom w:w="80" w:type="dxa"/>
              <w:right w:w="120" w:type="dxa"/>
            </w:tcMar>
          </w:tcPr>
          <w:p w14:paraId="724D9D7A" w14:textId="77777777" w:rsidR="009030C8" w:rsidRDefault="00000000">
            <w:pPr>
              <w:spacing w:line="276" w:lineRule="auto"/>
            </w:pPr>
            <w:r>
              <w:rPr>
                <w:b/>
                <w:bCs/>
                <w:color w:val="2563EB"/>
                <w:sz w:val="20"/>
                <w:szCs w:val="20"/>
              </w:rPr>
              <w:t>Est. Cost</w:t>
            </w:r>
          </w:p>
        </w:tc>
        <w:tc>
          <w:tcPr>
            <w:tcW w:w="1320" w:type="dxa"/>
            <w:tcBorders>
              <w:top w:val="single" w:sz="1" w:space="0" w:color="2563EB"/>
              <w:left w:val="single" w:sz="1" w:space="0" w:color="2563EB"/>
              <w:bottom w:val="single" w:sz="1" w:space="0" w:color="2563EB"/>
              <w:right w:val="single" w:sz="1" w:space="0" w:color="2563EB"/>
            </w:tcBorders>
            <w:shd w:val="clear" w:color="auto" w:fill="EFF6FF"/>
            <w:tcMar>
              <w:top w:w="80" w:type="dxa"/>
              <w:left w:w="120" w:type="dxa"/>
              <w:bottom w:w="80" w:type="dxa"/>
              <w:right w:w="120" w:type="dxa"/>
            </w:tcMar>
          </w:tcPr>
          <w:p w14:paraId="269F3D98" w14:textId="77777777" w:rsidR="009030C8" w:rsidRDefault="00000000">
            <w:pPr>
              <w:spacing w:line="276" w:lineRule="auto"/>
            </w:pPr>
            <w:r>
              <w:rPr>
                <w:b/>
                <w:bCs/>
                <w:color w:val="2563EB"/>
                <w:sz w:val="20"/>
                <w:szCs w:val="20"/>
              </w:rPr>
              <w:t>Energy</w:t>
            </w:r>
          </w:p>
        </w:tc>
      </w:tr>
      <w:tr w:rsidR="009030C8" w14:paraId="31250079" w14:textId="77777777">
        <w:tblPrEx>
          <w:tblCellMar>
            <w:top w:w="0" w:type="dxa"/>
            <w:bottom w:w="0" w:type="dxa"/>
          </w:tblCellMar>
        </w:tblPrEx>
        <w:tc>
          <w:tcPr>
            <w:tcW w:w="2160" w:type="dxa"/>
            <w:tcBorders>
              <w:top w:val="single" w:sz="1" w:space="0" w:color="D1D5DB"/>
              <w:left w:val="single" w:sz="1" w:space="0" w:color="D1D5DB"/>
              <w:bottom w:val="single" w:sz="1" w:space="0" w:color="D1D5DB"/>
              <w:right w:val="single" w:sz="1" w:space="0" w:color="D1D5DB"/>
            </w:tcBorders>
            <w:shd w:val="clear" w:color="auto" w:fill="F9FAFB"/>
            <w:tcMar>
              <w:top w:w="80" w:type="dxa"/>
              <w:left w:w="120" w:type="dxa"/>
              <w:bottom w:w="80" w:type="dxa"/>
              <w:right w:w="120" w:type="dxa"/>
            </w:tcMar>
          </w:tcPr>
          <w:p w14:paraId="23EE560B" w14:textId="77777777" w:rsidR="009030C8" w:rsidRDefault="00000000">
            <w:pPr>
              <w:spacing w:line="276" w:lineRule="auto"/>
            </w:pPr>
            <w:r>
              <w:rPr>
                <w:b/>
                <w:bCs/>
                <w:color w:val="111827"/>
                <w:sz w:val="20"/>
                <w:szCs w:val="20"/>
              </w:rPr>
              <w:t>GPT-4 (OpenAI, 2023)</w:t>
            </w:r>
          </w:p>
        </w:tc>
        <w:tc>
          <w:tcPr>
            <w:tcW w:w="1560" w:type="dxa"/>
            <w:tcBorders>
              <w:top w:val="single" w:sz="1" w:space="0" w:color="D1D5DB"/>
              <w:left w:val="single" w:sz="1" w:space="0" w:color="D1D5DB"/>
              <w:bottom w:val="single" w:sz="1" w:space="0" w:color="D1D5DB"/>
              <w:right w:val="single" w:sz="1" w:space="0" w:color="D1D5DB"/>
            </w:tcBorders>
            <w:shd w:val="clear" w:color="auto" w:fill="F9FAFB"/>
            <w:tcMar>
              <w:top w:w="80" w:type="dxa"/>
              <w:left w:w="120" w:type="dxa"/>
              <w:bottom w:w="80" w:type="dxa"/>
              <w:right w:w="120" w:type="dxa"/>
            </w:tcMar>
          </w:tcPr>
          <w:p w14:paraId="0967972D" w14:textId="77777777" w:rsidR="009030C8" w:rsidRDefault="00000000">
            <w:pPr>
              <w:spacing w:line="276" w:lineRule="auto"/>
            </w:pPr>
            <w:r>
              <w:rPr>
                <w:sz w:val="20"/>
                <w:szCs w:val="20"/>
              </w:rPr>
              <w:t>~1.8T (est.)</w:t>
            </w:r>
          </w:p>
        </w:tc>
        <w:tc>
          <w:tcPr>
            <w:tcW w:w="1440" w:type="dxa"/>
            <w:tcBorders>
              <w:top w:val="single" w:sz="1" w:space="0" w:color="D1D5DB"/>
              <w:left w:val="single" w:sz="1" w:space="0" w:color="D1D5DB"/>
              <w:bottom w:val="single" w:sz="1" w:space="0" w:color="D1D5DB"/>
              <w:right w:val="single" w:sz="1" w:space="0" w:color="D1D5DB"/>
            </w:tcBorders>
            <w:shd w:val="clear" w:color="auto" w:fill="F9FAFB"/>
            <w:tcMar>
              <w:top w:w="80" w:type="dxa"/>
              <w:left w:w="120" w:type="dxa"/>
              <w:bottom w:w="80" w:type="dxa"/>
              <w:right w:w="120" w:type="dxa"/>
            </w:tcMar>
          </w:tcPr>
          <w:p w14:paraId="661F4F25" w14:textId="77777777" w:rsidR="009030C8" w:rsidRDefault="00000000">
            <w:pPr>
              <w:spacing w:line="276" w:lineRule="auto"/>
            </w:pPr>
            <w:r>
              <w:rPr>
                <w:sz w:val="20"/>
                <w:szCs w:val="20"/>
              </w:rPr>
              <w:t>~13T</w:t>
            </w:r>
          </w:p>
        </w:tc>
        <w:tc>
          <w:tcPr>
            <w:tcW w:w="1560" w:type="dxa"/>
            <w:tcBorders>
              <w:top w:val="single" w:sz="1" w:space="0" w:color="D1D5DB"/>
              <w:left w:val="single" w:sz="1" w:space="0" w:color="D1D5DB"/>
              <w:bottom w:val="single" w:sz="1" w:space="0" w:color="D1D5DB"/>
              <w:right w:val="single" w:sz="1" w:space="0" w:color="D1D5DB"/>
            </w:tcBorders>
            <w:shd w:val="clear" w:color="auto" w:fill="F9FAFB"/>
            <w:tcMar>
              <w:top w:w="80" w:type="dxa"/>
              <w:left w:w="120" w:type="dxa"/>
              <w:bottom w:w="80" w:type="dxa"/>
              <w:right w:w="120" w:type="dxa"/>
            </w:tcMar>
          </w:tcPr>
          <w:p w14:paraId="5A2C2850" w14:textId="77777777" w:rsidR="009030C8" w:rsidRDefault="00000000">
            <w:pPr>
              <w:spacing w:line="276" w:lineRule="auto"/>
            </w:pPr>
            <w:r>
              <w:rPr>
                <w:sz w:val="20"/>
                <w:szCs w:val="20"/>
              </w:rPr>
              <w:t>~25K A100 GPUs</w:t>
            </w:r>
          </w:p>
        </w:tc>
        <w:tc>
          <w:tcPr>
            <w:tcW w:w="1320" w:type="dxa"/>
            <w:tcBorders>
              <w:top w:val="single" w:sz="1" w:space="0" w:color="D1D5DB"/>
              <w:left w:val="single" w:sz="1" w:space="0" w:color="D1D5DB"/>
              <w:bottom w:val="single" w:sz="1" w:space="0" w:color="D1D5DB"/>
              <w:right w:val="single" w:sz="1" w:space="0" w:color="D1D5DB"/>
            </w:tcBorders>
            <w:shd w:val="clear" w:color="auto" w:fill="F9FAFB"/>
            <w:tcMar>
              <w:top w:w="80" w:type="dxa"/>
              <w:left w:w="120" w:type="dxa"/>
              <w:bottom w:w="80" w:type="dxa"/>
              <w:right w:w="120" w:type="dxa"/>
            </w:tcMar>
          </w:tcPr>
          <w:p w14:paraId="6B137826" w14:textId="77777777" w:rsidR="009030C8" w:rsidRDefault="00000000">
            <w:pPr>
              <w:spacing w:line="276" w:lineRule="auto"/>
            </w:pPr>
            <w:r>
              <w:rPr>
                <w:sz w:val="20"/>
                <w:szCs w:val="20"/>
              </w:rPr>
              <w:t>$78M–$100M</w:t>
            </w:r>
          </w:p>
        </w:tc>
        <w:tc>
          <w:tcPr>
            <w:tcW w:w="1320" w:type="dxa"/>
            <w:tcBorders>
              <w:top w:val="single" w:sz="1" w:space="0" w:color="D1D5DB"/>
              <w:left w:val="single" w:sz="1" w:space="0" w:color="D1D5DB"/>
              <w:bottom w:val="single" w:sz="1" w:space="0" w:color="D1D5DB"/>
              <w:right w:val="single" w:sz="1" w:space="0" w:color="D1D5DB"/>
            </w:tcBorders>
            <w:shd w:val="clear" w:color="auto" w:fill="F9FAFB"/>
            <w:tcMar>
              <w:top w:w="80" w:type="dxa"/>
              <w:left w:w="120" w:type="dxa"/>
              <w:bottom w:w="80" w:type="dxa"/>
              <w:right w:w="120" w:type="dxa"/>
            </w:tcMar>
          </w:tcPr>
          <w:p w14:paraId="64F54A01" w14:textId="77777777" w:rsidR="009030C8" w:rsidRDefault="00000000">
            <w:pPr>
              <w:spacing w:line="276" w:lineRule="auto"/>
            </w:pPr>
            <w:r>
              <w:rPr>
                <w:sz w:val="20"/>
                <w:szCs w:val="20"/>
              </w:rPr>
              <w:t>~51 GWh (est.)</w:t>
            </w:r>
          </w:p>
        </w:tc>
      </w:tr>
      <w:tr w:rsidR="009030C8" w14:paraId="306ED42E" w14:textId="77777777">
        <w:tblPrEx>
          <w:tblCellMar>
            <w:top w:w="0" w:type="dxa"/>
            <w:bottom w:w="0" w:type="dxa"/>
          </w:tblCellMar>
        </w:tblPrEx>
        <w:tc>
          <w:tcPr>
            <w:tcW w:w="2160" w:type="dxa"/>
            <w:tcBorders>
              <w:top w:val="single" w:sz="1" w:space="0" w:color="D1D5DB"/>
              <w:left w:val="single" w:sz="1" w:space="0" w:color="D1D5DB"/>
              <w:bottom w:val="single" w:sz="1" w:space="0" w:color="D1D5DB"/>
              <w:right w:val="single" w:sz="1" w:space="0" w:color="D1D5DB"/>
            </w:tcBorders>
            <w:shd w:val="clear" w:color="auto" w:fill="FFFFFF"/>
            <w:tcMar>
              <w:top w:w="80" w:type="dxa"/>
              <w:left w:w="120" w:type="dxa"/>
              <w:bottom w:w="80" w:type="dxa"/>
              <w:right w:w="120" w:type="dxa"/>
            </w:tcMar>
          </w:tcPr>
          <w:p w14:paraId="73900250" w14:textId="77777777" w:rsidR="009030C8" w:rsidRDefault="00000000">
            <w:pPr>
              <w:spacing w:line="276" w:lineRule="auto"/>
            </w:pPr>
            <w:r>
              <w:rPr>
                <w:b/>
                <w:bCs/>
                <w:color w:val="111827"/>
                <w:sz w:val="20"/>
                <w:szCs w:val="20"/>
              </w:rPr>
              <w:t>Gemini Ultra (Google, 2024)</w:t>
            </w:r>
          </w:p>
        </w:tc>
        <w:tc>
          <w:tcPr>
            <w:tcW w:w="1560" w:type="dxa"/>
            <w:tcBorders>
              <w:top w:val="single" w:sz="1" w:space="0" w:color="D1D5DB"/>
              <w:left w:val="single" w:sz="1" w:space="0" w:color="D1D5DB"/>
              <w:bottom w:val="single" w:sz="1" w:space="0" w:color="D1D5DB"/>
              <w:right w:val="single" w:sz="1" w:space="0" w:color="D1D5DB"/>
            </w:tcBorders>
            <w:shd w:val="clear" w:color="auto" w:fill="FFFFFF"/>
            <w:tcMar>
              <w:top w:w="80" w:type="dxa"/>
              <w:left w:w="120" w:type="dxa"/>
              <w:bottom w:w="80" w:type="dxa"/>
              <w:right w:w="120" w:type="dxa"/>
            </w:tcMar>
          </w:tcPr>
          <w:p w14:paraId="76B5A787" w14:textId="77777777" w:rsidR="009030C8" w:rsidRDefault="00000000">
            <w:pPr>
              <w:spacing w:line="276" w:lineRule="auto"/>
            </w:pPr>
            <w:proofErr w:type="spellStart"/>
            <w:r>
              <w:rPr>
                <w:sz w:val="20"/>
                <w:szCs w:val="20"/>
              </w:rPr>
              <w:t>MoE</w:t>
            </w:r>
            <w:proofErr w:type="spellEnd"/>
            <w:r>
              <w:rPr>
                <w:sz w:val="20"/>
                <w:szCs w:val="20"/>
              </w:rPr>
              <w:t xml:space="preserve"> – N/A</w:t>
            </w:r>
          </w:p>
        </w:tc>
        <w:tc>
          <w:tcPr>
            <w:tcW w:w="1440" w:type="dxa"/>
            <w:tcBorders>
              <w:top w:val="single" w:sz="1" w:space="0" w:color="D1D5DB"/>
              <w:left w:val="single" w:sz="1" w:space="0" w:color="D1D5DB"/>
              <w:bottom w:val="single" w:sz="1" w:space="0" w:color="D1D5DB"/>
              <w:right w:val="single" w:sz="1" w:space="0" w:color="D1D5DB"/>
            </w:tcBorders>
            <w:shd w:val="clear" w:color="auto" w:fill="FFFFFF"/>
            <w:tcMar>
              <w:top w:w="80" w:type="dxa"/>
              <w:left w:w="120" w:type="dxa"/>
              <w:bottom w:w="80" w:type="dxa"/>
              <w:right w:w="120" w:type="dxa"/>
            </w:tcMar>
          </w:tcPr>
          <w:p w14:paraId="31E8D89C" w14:textId="77777777" w:rsidR="009030C8" w:rsidRDefault="00000000">
            <w:pPr>
              <w:spacing w:line="276" w:lineRule="auto"/>
            </w:pPr>
            <w:r>
              <w:rPr>
                <w:sz w:val="20"/>
                <w:szCs w:val="20"/>
              </w:rPr>
              <w:t>N/A</w:t>
            </w:r>
          </w:p>
        </w:tc>
        <w:tc>
          <w:tcPr>
            <w:tcW w:w="1560" w:type="dxa"/>
            <w:tcBorders>
              <w:top w:val="single" w:sz="1" w:space="0" w:color="D1D5DB"/>
              <w:left w:val="single" w:sz="1" w:space="0" w:color="D1D5DB"/>
              <w:bottom w:val="single" w:sz="1" w:space="0" w:color="D1D5DB"/>
              <w:right w:val="single" w:sz="1" w:space="0" w:color="D1D5DB"/>
            </w:tcBorders>
            <w:shd w:val="clear" w:color="auto" w:fill="FFFFFF"/>
            <w:tcMar>
              <w:top w:w="80" w:type="dxa"/>
              <w:left w:w="120" w:type="dxa"/>
              <w:bottom w:w="80" w:type="dxa"/>
              <w:right w:w="120" w:type="dxa"/>
            </w:tcMar>
          </w:tcPr>
          <w:p w14:paraId="4CCAA82C" w14:textId="77777777" w:rsidR="009030C8" w:rsidRDefault="00000000">
            <w:pPr>
              <w:spacing w:line="276" w:lineRule="auto"/>
            </w:pPr>
            <w:r>
              <w:rPr>
                <w:sz w:val="20"/>
                <w:szCs w:val="20"/>
              </w:rPr>
              <w:t>~16K TPU v4</w:t>
            </w:r>
          </w:p>
        </w:tc>
        <w:tc>
          <w:tcPr>
            <w:tcW w:w="1320" w:type="dxa"/>
            <w:tcBorders>
              <w:top w:val="single" w:sz="1" w:space="0" w:color="D1D5DB"/>
              <w:left w:val="single" w:sz="1" w:space="0" w:color="D1D5DB"/>
              <w:bottom w:val="single" w:sz="1" w:space="0" w:color="D1D5DB"/>
              <w:right w:val="single" w:sz="1" w:space="0" w:color="D1D5DB"/>
            </w:tcBorders>
            <w:shd w:val="clear" w:color="auto" w:fill="FFFFFF"/>
            <w:tcMar>
              <w:top w:w="80" w:type="dxa"/>
              <w:left w:w="120" w:type="dxa"/>
              <w:bottom w:w="80" w:type="dxa"/>
              <w:right w:w="120" w:type="dxa"/>
            </w:tcMar>
          </w:tcPr>
          <w:p w14:paraId="15A26F1D" w14:textId="77777777" w:rsidR="009030C8" w:rsidRDefault="00000000">
            <w:pPr>
              <w:spacing w:line="276" w:lineRule="auto"/>
            </w:pPr>
            <w:r>
              <w:rPr>
                <w:sz w:val="20"/>
                <w:szCs w:val="20"/>
              </w:rPr>
              <w:t>$100M+ (est.)</w:t>
            </w:r>
          </w:p>
        </w:tc>
        <w:tc>
          <w:tcPr>
            <w:tcW w:w="1320" w:type="dxa"/>
            <w:tcBorders>
              <w:top w:val="single" w:sz="1" w:space="0" w:color="D1D5DB"/>
              <w:left w:val="single" w:sz="1" w:space="0" w:color="D1D5DB"/>
              <w:bottom w:val="single" w:sz="1" w:space="0" w:color="D1D5DB"/>
              <w:right w:val="single" w:sz="1" w:space="0" w:color="D1D5DB"/>
            </w:tcBorders>
            <w:shd w:val="clear" w:color="auto" w:fill="FFFFFF"/>
            <w:tcMar>
              <w:top w:w="80" w:type="dxa"/>
              <w:left w:w="120" w:type="dxa"/>
              <w:bottom w:w="80" w:type="dxa"/>
              <w:right w:w="120" w:type="dxa"/>
            </w:tcMar>
          </w:tcPr>
          <w:p w14:paraId="138D57D2" w14:textId="77777777" w:rsidR="009030C8" w:rsidRDefault="00000000">
            <w:pPr>
              <w:spacing w:line="276" w:lineRule="auto"/>
            </w:pPr>
            <w:r>
              <w:rPr>
                <w:sz w:val="20"/>
                <w:szCs w:val="20"/>
              </w:rPr>
              <w:t>N/A</w:t>
            </w:r>
          </w:p>
        </w:tc>
      </w:tr>
      <w:tr w:rsidR="009030C8" w14:paraId="4455C097" w14:textId="77777777">
        <w:tblPrEx>
          <w:tblCellMar>
            <w:top w:w="0" w:type="dxa"/>
            <w:bottom w:w="0" w:type="dxa"/>
          </w:tblCellMar>
        </w:tblPrEx>
        <w:tc>
          <w:tcPr>
            <w:tcW w:w="2160" w:type="dxa"/>
            <w:tcBorders>
              <w:top w:val="single" w:sz="1" w:space="0" w:color="D1D5DB"/>
              <w:left w:val="single" w:sz="1" w:space="0" w:color="D1D5DB"/>
              <w:bottom w:val="single" w:sz="1" w:space="0" w:color="D1D5DB"/>
              <w:right w:val="single" w:sz="1" w:space="0" w:color="D1D5DB"/>
            </w:tcBorders>
            <w:shd w:val="clear" w:color="auto" w:fill="F9FAFB"/>
            <w:tcMar>
              <w:top w:w="80" w:type="dxa"/>
              <w:left w:w="120" w:type="dxa"/>
              <w:bottom w:w="80" w:type="dxa"/>
              <w:right w:w="120" w:type="dxa"/>
            </w:tcMar>
          </w:tcPr>
          <w:p w14:paraId="26CEA7BA" w14:textId="77777777" w:rsidR="009030C8" w:rsidRDefault="00000000">
            <w:pPr>
              <w:spacing w:line="276" w:lineRule="auto"/>
            </w:pPr>
            <w:r>
              <w:rPr>
                <w:b/>
                <w:bCs/>
                <w:color w:val="111827"/>
                <w:sz w:val="20"/>
                <w:szCs w:val="20"/>
              </w:rPr>
              <w:t>Claude 3 Opus (Anthropic, 2024)</w:t>
            </w:r>
          </w:p>
        </w:tc>
        <w:tc>
          <w:tcPr>
            <w:tcW w:w="1560" w:type="dxa"/>
            <w:tcBorders>
              <w:top w:val="single" w:sz="1" w:space="0" w:color="D1D5DB"/>
              <w:left w:val="single" w:sz="1" w:space="0" w:color="D1D5DB"/>
              <w:bottom w:val="single" w:sz="1" w:space="0" w:color="D1D5DB"/>
              <w:right w:val="single" w:sz="1" w:space="0" w:color="D1D5DB"/>
            </w:tcBorders>
            <w:shd w:val="clear" w:color="auto" w:fill="F9FAFB"/>
            <w:tcMar>
              <w:top w:w="80" w:type="dxa"/>
              <w:left w:w="120" w:type="dxa"/>
              <w:bottom w:w="80" w:type="dxa"/>
              <w:right w:w="120" w:type="dxa"/>
            </w:tcMar>
          </w:tcPr>
          <w:p w14:paraId="61055B31" w14:textId="77777777" w:rsidR="009030C8" w:rsidRDefault="00000000">
            <w:pPr>
              <w:spacing w:line="276" w:lineRule="auto"/>
            </w:pPr>
            <w:r>
              <w:rPr>
                <w:sz w:val="20"/>
                <w:szCs w:val="20"/>
              </w:rPr>
              <w:t>Undisclosed</w:t>
            </w:r>
          </w:p>
        </w:tc>
        <w:tc>
          <w:tcPr>
            <w:tcW w:w="1440" w:type="dxa"/>
            <w:tcBorders>
              <w:top w:val="single" w:sz="1" w:space="0" w:color="D1D5DB"/>
              <w:left w:val="single" w:sz="1" w:space="0" w:color="D1D5DB"/>
              <w:bottom w:val="single" w:sz="1" w:space="0" w:color="D1D5DB"/>
              <w:right w:val="single" w:sz="1" w:space="0" w:color="D1D5DB"/>
            </w:tcBorders>
            <w:shd w:val="clear" w:color="auto" w:fill="F9FAFB"/>
            <w:tcMar>
              <w:top w:w="80" w:type="dxa"/>
              <w:left w:w="120" w:type="dxa"/>
              <w:bottom w:w="80" w:type="dxa"/>
              <w:right w:w="120" w:type="dxa"/>
            </w:tcMar>
          </w:tcPr>
          <w:p w14:paraId="258851BA" w14:textId="77777777" w:rsidR="009030C8" w:rsidRDefault="00000000">
            <w:pPr>
              <w:spacing w:line="276" w:lineRule="auto"/>
            </w:pPr>
            <w:r>
              <w:rPr>
                <w:sz w:val="20"/>
                <w:szCs w:val="20"/>
              </w:rPr>
              <w:t>N/A</w:t>
            </w:r>
          </w:p>
        </w:tc>
        <w:tc>
          <w:tcPr>
            <w:tcW w:w="1560" w:type="dxa"/>
            <w:tcBorders>
              <w:top w:val="single" w:sz="1" w:space="0" w:color="D1D5DB"/>
              <w:left w:val="single" w:sz="1" w:space="0" w:color="D1D5DB"/>
              <w:bottom w:val="single" w:sz="1" w:space="0" w:color="D1D5DB"/>
              <w:right w:val="single" w:sz="1" w:space="0" w:color="D1D5DB"/>
            </w:tcBorders>
            <w:shd w:val="clear" w:color="auto" w:fill="F9FAFB"/>
            <w:tcMar>
              <w:top w:w="80" w:type="dxa"/>
              <w:left w:w="120" w:type="dxa"/>
              <w:bottom w:w="80" w:type="dxa"/>
              <w:right w:w="120" w:type="dxa"/>
            </w:tcMar>
          </w:tcPr>
          <w:p w14:paraId="79B407C3" w14:textId="77777777" w:rsidR="009030C8" w:rsidRDefault="00000000">
            <w:pPr>
              <w:spacing w:line="276" w:lineRule="auto"/>
            </w:pPr>
            <w:r>
              <w:rPr>
                <w:sz w:val="20"/>
                <w:szCs w:val="20"/>
              </w:rPr>
              <w:t>Large TPU cluster</w:t>
            </w:r>
          </w:p>
        </w:tc>
        <w:tc>
          <w:tcPr>
            <w:tcW w:w="1320" w:type="dxa"/>
            <w:tcBorders>
              <w:top w:val="single" w:sz="1" w:space="0" w:color="D1D5DB"/>
              <w:left w:val="single" w:sz="1" w:space="0" w:color="D1D5DB"/>
              <w:bottom w:val="single" w:sz="1" w:space="0" w:color="D1D5DB"/>
              <w:right w:val="single" w:sz="1" w:space="0" w:color="D1D5DB"/>
            </w:tcBorders>
            <w:shd w:val="clear" w:color="auto" w:fill="F9FAFB"/>
            <w:tcMar>
              <w:top w:w="80" w:type="dxa"/>
              <w:left w:w="120" w:type="dxa"/>
              <w:bottom w:w="80" w:type="dxa"/>
              <w:right w:w="120" w:type="dxa"/>
            </w:tcMar>
          </w:tcPr>
          <w:p w14:paraId="0A9AB0B7" w14:textId="77777777" w:rsidR="009030C8" w:rsidRDefault="00000000">
            <w:pPr>
              <w:spacing w:line="276" w:lineRule="auto"/>
            </w:pPr>
            <w:r>
              <w:rPr>
                <w:sz w:val="20"/>
                <w:szCs w:val="20"/>
              </w:rPr>
              <w:t>$50M–$75M (est.)</w:t>
            </w:r>
          </w:p>
        </w:tc>
        <w:tc>
          <w:tcPr>
            <w:tcW w:w="1320" w:type="dxa"/>
            <w:tcBorders>
              <w:top w:val="single" w:sz="1" w:space="0" w:color="D1D5DB"/>
              <w:left w:val="single" w:sz="1" w:space="0" w:color="D1D5DB"/>
              <w:bottom w:val="single" w:sz="1" w:space="0" w:color="D1D5DB"/>
              <w:right w:val="single" w:sz="1" w:space="0" w:color="D1D5DB"/>
            </w:tcBorders>
            <w:shd w:val="clear" w:color="auto" w:fill="F9FAFB"/>
            <w:tcMar>
              <w:top w:w="80" w:type="dxa"/>
              <w:left w:w="120" w:type="dxa"/>
              <w:bottom w:w="80" w:type="dxa"/>
              <w:right w:w="120" w:type="dxa"/>
            </w:tcMar>
          </w:tcPr>
          <w:p w14:paraId="6B7A0D1B" w14:textId="77777777" w:rsidR="009030C8" w:rsidRDefault="00000000">
            <w:pPr>
              <w:spacing w:line="276" w:lineRule="auto"/>
            </w:pPr>
            <w:r>
              <w:rPr>
                <w:sz w:val="20"/>
                <w:szCs w:val="20"/>
              </w:rPr>
              <w:t>N/A</w:t>
            </w:r>
          </w:p>
        </w:tc>
      </w:tr>
      <w:tr w:rsidR="009030C8" w14:paraId="0E3B2349" w14:textId="77777777">
        <w:tblPrEx>
          <w:tblCellMar>
            <w:top w:w="0" w:type="dxa"/>
            <w:bottom w:w="0" w:type="dxa"/>
          </w:tblCellMar>
        </w:tblPrEx>
        <w:tc>
          <w:tcPr>
            <w:tcW w:w="2160" w:type="dxa"/>
            <w:tcBorders>
              <w:top w:val="single" w:sz="1" w:space="0" w:color="D1D5DB"/>
              <w:left w:val="single" w:sz="1" w:space="0" w:color="D1D5DB"/>
              <w:bottom w:val="single" w:sz="1" w:space="0" w:color="D1D5DB"/>
              <w:right w:val="single" w:sz="1" w:space="0" w:color="D1D5DB"/>
            </w:tcBorders>
            <w:shd w:val="clear" w:color="auto" w:fill="FFFFFF"/>
            <w:tcMar>
              <w:top w:w="80" w:type="dxa"/>
              <w:left w:w="120" w:type="dxa"/>
              <w:bottom w:w="80" w:type="dxa"/>
              <w:right w:w="120" w:type="dxa"/>
            </w:tcMar>
          </w:tcPr>
          <w:p w14:paraId="28CA3D65" w14:textId="77777777" w:rsidR="009030C8" w:rsidRDefault="00000000">
            <w:pPr>
              <w:spacing w:line="276" w:lineRule="auto"/>
            </w:pPr>
            <w:proofErr w:type="spellStart"/>
            <w:r>
              <w:rPr>
                <w:b/>
                <w:bCs/>
                <w:color w:val="111827"/>
                <w:sz w:val="20"/>
                <w:szCs w:val="20"/>
              </w:rPr>
              <w:t>LLaMA</w:t>
            </w:r>
            <w:proofErr w:type="spellEnd"/>
            <w:r>
              <w:rPr>
                <w:b/>
                <w:bCs/>
                <w:color w:val="111827"/>
                <w:sz w:val="20"/>
                <w:szCs w:val="20"/>
              </w:rPr>
              <w:t xml:space="preserve"> 3 70B (Meta, 2024)</w:t>
            </w:r>
          </w:p>
        </w:tc>
        <w:tc>
          <w:tcPr>
            <w:tcW w:w="1560" w:type="dxa"/>
            <w:tcBorders>
              <w:top w:val="single" w:sz="1" w:space="0" w:color="D1D5DB"/>
              <w:left w:val="single" w:sz="1" w:space="0" w:color="D1D5DB"/>
              <w:bottom w:val="single" w:sz="1" w:space="0" w:color="D1D5DB"/>
              <w:right w:val="single" w:sz="1" w:space="0" w:color="D1D5DB"/>
            </w:tcBorders>
            <w:shd w:val="clear" w:color="auto" w:fill="FFFFFF"/>
            <w:tcMar>
              <w:top w:w="80" w:type="dxa"/>
              <w:left w:w="120" w:type="dxa"/>
              <w:bottom w:w="80" w:type="dxa"/>
              <w:right w:w="120" w:type="dxa"/>
            </w:tcMar>
          </w:tcPr>
          <w:p w14:paraId="71A20BAD" w14:textId="77777777" w:rsidR="009030C8" w:rsidRDefault="00000000">
            <w:pPr>
              <w:spacing w:line="276" w:lineRule="auto"/>
            </w:pPr>
            <w:r>
              <w:rPr>
                <w:sz w:val="20"/>
                <w:szCs w:val="20"/>
              </w:rPr>
              <w:t>70B</w:t>
            </w:r>
          </w:p>
        </w:tc>
        <w:tc>
          <w:tcPr>
            <w:tcW w:w="1440" w:type="dxa"/>
            <w:tcBorders>
              <w:top w:val="single" w:sz="1" w:space="0" w:color="D1D5DB"/>
              <w:left w:val="single" w:sz="1" w:space="0" w:color="D1D5DB"/>
              <w:bottom w:val="single" w:sz="1" w:space="0" w:color="D1D5DB"/>
              <w:right w:val="single" w:sz="1" w:space="0" w:color="D1D5DB"/>
            </w:tcBorders>
            <w:shd w:val="clear" w:color="auto" w:fill="FFFFFF"/>
            <w:tcMar>
              <w:top w:w="80" w:type="dxa"/>
              <w:left w:w="120" w:type="dxa"/>
              <w:bottom w:w="80" w:type="dxa"/>
              <w:right w:w="120" w:type="dxa"/>
            </w:tcMar>
          </w:tcPr>
          <w:p w14:paraId="70A6F0B1" w14:textId="77777777" w:rsidR="009030C8" w:rsidRDefault="00000000">
            <w:pPr>
              <w:spacing w:line="276" w:lineRule="auto"/>
            </w:pPr>
            <w:r>
              <w:rPr>
                <w:sz w:val="20"/>
                <w:szCs w:val="20"/>
              </w:rPr>
              <w:t>15T</w:t>
            </w:r>
          </w:p>
        </w:tc>
        <w:tc>
          <w:tcPr>
            <w:tcW w:w="1560" w:type="dxa"/>
            <w:tcBorders>
              <w:top w:val="single" w:sz="1" w:space="0" w:color="D1D5DB"/>
              <w:left w:val="single" w:sz="1" w:space="0" w:color="D1D5DB"/>
              <w:bottom w:val="single" w:sz="1" w:space="0" w:color="D1D5DB"/>
              <w:right w:val="single" w:sz="1" w:space="0" w:color="D1D5DB"/>
            </w:tcBorders>
            <w:shd w:val="clear" w:color="auto" w:fill="FFFFFF"/>
            <w:tcMar>
              <w:top w:w="80" w:type="dxa"/>
              <w:left w:w="120" w:type="dxa"/>
              <w:bottom w:w="80" w:type="dxa"/>
              <w:right w:w="120" w:type="dxa"/>
            </w:tcMar>
          </w:tcPr>
          <w:p w14:paraId="4F6CB873" w14:textId="77777777" w:rsidR="009030C8" w:rsidRDefault="00000000">
            <w:pPr>
              <w:spacing w:line="276" w:lineRule="auto"/>
            </w:pPr>
            <w:r>
              <w:rPr>
                <w:sz w:val="20"/>
                <w:szCs w:val="20"/>
              </w:rPr>
              <w:t>~6.4M GPU-</w:t>
            </w:r>
            <w:proofErr w:type="spellStart"/>
            <w:r>
              <w:rPr>
                <w:sz w:val="20"/>
                <w:szCs w:val="20"/>
              </w:rPr>
              <w:t>hrs</w:t>
            </w:r>
            <w:proofErr w:type="spellEnd"/>
          </w:p>
        </w:tc>
        <w:tc>
          <w:tcPr>
            <w:tcW w:w="1320" w:type="dxa"/>
            <w:tcBorders>
              <w:top w:val="single" w:sz="1" w:space="0" w:color="D1D5DB"/>
              <w:left w:val="single" w:sz="1" w:space="0" w:color="D1D5DB"/>
              <w:bottom w:val="single" w:sz="1" w:space="0" w:color="D1D5DB"/>
              <w:right w:val="single" w:sz="1" w:space="0" w:color="D1D5DB"/>
            </w:tcBorders>
            <w:shd w:val="clear" w:color="auto" w:fill="FFFFFF"/>
            <w:tcMar>
              <w:top w:w="80" w:type="dxa"/>
              <w:left w:w="120" w:type="dxa"/>
              <w:bottom w:w="80" w:type="dxa"/>
              <w:right w:w="120" w:type="dxa"/>
            </w:tcMar>
          </w:tcPr>
          <w:p w14:paraId="18ED0140" w14:textId="77777777" w:rsidR="009030C8" w:rsidRDefault="00000000">
            <w:pPr>
              <w:spacing w:line="276" w:lineRule="auto"/>
            </w:pPr>
            <w:r>
              <w:rPr>
                <w:sz w:val="20"/>
                <w:szCs w:val="20"/>
              </w:rPr>
              <w:t>$5M–$8M</w:t>
            </w:r>
          </w:p>
        </w:tc>
        <w:tc>
          <w:tcPr>
            <w:tcW w:w="1320" w:type="dxa"/>
            <w:tcBorders>
              <w:top w:val="single" w:sz="1" w:space="0" w:color="D1D5DB"/>
              <w:left w:val="single" w:sz="1" w:space="0" w:color="D1D5DB"/>
              <w:bottom w:val="single" w:sz="1" w:space="0" w:color="D1D5DB"/>
              <w:right w:val="single" w:sz="1" w:space="0" w:color="D1D5DB"/>
            </w:tcBorders>
            <w:shd w:val="clear" w:color="auto" w:fill="FFFFFF"/>
            <w:tcMar>
              <w:top w:w="80" w:type="dxa"/>
              <w:left w:w="120" w:type="dxa"/>
              <w:bottom w:w="80" w:type="dxa"/>
              <w:right w:w="120" w:type="dxa"/>
            </w:tcMar>
          </w:tcPr>
          <w:p w14:paraId="5755B630" w14:textId="77777777" w:rsidR="009030C8" w:rsidRDefault="00000000">
            <w:pPr>
              <w:spacing w:line="276" w:lineRule="auto"/>
            </w:pPr>
            <w:r>
              <w:rPr>
                <w:sz w:val="20"/>
                <w:szCs w:val="20"/>
              </w:rPr>
              <w:t>~540 MWh</w:t>
            </w:r>
          </w:p>
        </w:tc>
      </w:tr>
      <w:tr w:rsidR="009030C8" w14:paraId="54216F75" w14:textId="77777777">
        <w:tblPrEx>
          <w:tblCellMar>
            <w:top w:w="0" w:type="dxa"/>
            <w:bottom w:w="0" w:type="dxa"/>
          </w:tblCellMar>
        </w:tblPrEx>
        <w:tc>
          <w:tcPr>
            <w:tcW w:w="2160" w:type="dxa"/>
            <w:tcBorders>
              <w:top w:val="single" w:sz="1" w:space="0" w:color="D1D5DB"/>
              <w:left w:val="single" w:sz="1" w:space="0" w:color="D1D5DB"/>
              <w:bottom w:val="single" w:sz="1" w:space="0" w:color="D1D5DB"/>
              <w:right w:val="single" w:sz="1" w:space="0" w:color="D1D5DB"/>
            </w:tcBorders>
            <w:shd w:val="clear" w:color="auto" w:fill="F9FAFB"/>
            <w:tcMar>
              <w:top w:w="80" w:type="dxa"/>
              <w:left w:w="120" w:type="dxa"/>
              <w:bottom w:w="80" w:type="dxa"/>
              <w:right w:w="120" w:type="dxa"/>
            </w:tcMar>
          </w:tcPr>
          <w:p w14:paraId="0DC564D0" w14:textId="77777777" w:rsidR="009030C8" w:rsidRDefault="00000000">
            <w:pPr>
              <w:spacing w:line="276" w:lineRule="auto"/>
            </w:pPr>
            <w:r>
              <w:rPr>
                <w:b/>
                <w:bCs/>
                <w:color w:val="111827"/>
                <w:sz w:val="20"/>
                <w:szCs w:val="20"/>
              </w:rPr>
              <w:t>GPT-3 (OpenAI, 2020)</w:t>
            </w:r>
          </w:p>
        </w:tc>
        <w:tc>
          <w:tcPr>
            <w:tcW w:w="1560" w:type="dxa"/>
            <w:tcBorders>
              <w:top w:val="single" w:sz="1" w:space="0" w:color="D1D5DB"/>
              <w:left w:val="single" w:sz="1" w:space="0" w:color="D1D5DB"/>
              <w:bottom w:val="single" w:sz="1" w:space="0" w:color="D1D5DB"/>
              <w:right w:val="single" w:sz="1" w:space="0" w:color="D1D5DB"/>
            </w:tcBorders>
            <w:shd w:val="clear" w:color="auto" w:fill="F9FAFB"/>
            <w:tcMar>
              <w:top w:w="80" w:type="dxa"/>
              <w:left w:w="120" w:type="dxa"/>
              <w:bottom w:w="80" w:type="dxa"/>
              <w:right w:w="120" w:type="dxa"/>
            </w:tcMar>
          </w:tcPr>
          <w:p w14:paraId="68B9495D" w14:textId="77777777" w:rsidR="009030C8" w:rsidRDefault="00000000">
            <w:pPr>
              <w:spacing w:line="276" w:lineRule="auto"/>
            </w:pPr>
            <w:r>
              <w:rPr>
                <w:sz w:val="20"/>
                <w:szCs w:val="20"/>
              </w:rPr>
              <w:t>175B</w:t>
            </w:r>
          </w:p>
        </w:tc>
        <w:tc>
          <w:tcPr>
            <w:tcW w:w="1440" w:type="dxa"/>
            <w:tcBorders>
              <w:top w:val="single" w:sz="1" w:space="0" w:color="D1D5DB"/>
              <w:left w:val="single" w:sz="1" w:space="0" w:color="D1D5DB"/>
              <w:bottom w:val="single" w:sz="1" w:space="0" w:color="D1D5DB"/>
              <w:right w:val="single" w:sz="1" w:space="0" w:color="D1D5DB"/>
            </w:tcBorders>
            <w:shd w:val="clear" w:color="auto" w:fill="F9FAFB"/>
            <w:tcMar>
              <w:top w:w="80" w:type="dxa"/>
              <w:left w:w="120" w:type="dxa"/>
              <w:bottom w:w="80" w:type="dxa"/>
              <w:right w:w="120" w:type="dxa"/>
            </w:tcMar>
          </w:tcPr>
          <w:p w14:paraId="274071C4" w14:textId="77777777" w:rsidR="009030C8" w:rsidRDefault="00000000">
            <w:pPr>
              <w:spacing w:line="276" w:lineRule="auto"/>
            </w:pPr>
            <w:r>
              <w:rPr>
                <w:sz w:val="20"/>
                <w:szCs w:val="20"/>
              </w:rPr>
              <w:t>300B</w:t>
            </w:r>
          </w:p>
        </w:tc>
        <w:tc>
          <w:tcPr>
            <w:tcW w:w="1560" w:type="dxa"/>
            <w:tcBorders>
              <w:top w:val="single" w:sz="1" w:space="0" w:color="D1D5DB"/>
              <w:left w:val="single" w:sz="1" w:space="0" w:color="D1D5DB"/>
              <w:bottom w:val="single" w:sz="1" w:space="0" w:color="D1D5DB"/>
              <w:right w:val="single" w:sz="1" w:space="0" w:color="D1D5DB"/>
            </w:tcBorders>
            <w:shd w:val="clear" w:color="auto" w:fill="F9FAFB"/>
            <w:tcMar>
              <w:top w:w="80" w:type="dxa"/>
              <w:left w:w="120" w:type="dxa"/>
              <w:bottom w:w="80" w:type="dxa"/>
              <w:right w:w="120" w:type="dxa"/>
            </w:tcMar>
          </w:tcPr>
          <w:p w14:paraId="6E594524" w14:textId="77777777" w:rsidR="009030C8" w:rsidRDefault="00000000">
            <w:pPr>
              <w:spacing w:line="276" w:lineRule="auto"/>
            </w:pPr>
            <w:r>
              <w:rPr>
                <w:sz w:val="20"/>
                <w:szCs w:val="20"/>
              </w:rPr>
              <w:t>~1K A100s × 34d</w:t>
            </w:r>
          </w:p>
        </w:tc>
        <w:tc>
          <w:tcPr>
            <w:tcW w:w="1320" w:type="dxa"/>
            <w:tcBorders>
              <w:top w:val="single" w:sz="1" w:space="0" w:color="D1D5DB"/>
              <w:left w:val="single" w:sz="1" w:space="0" w:color="D1D5DB"/>
              <w:bottom w:val="single" w:sz="1" w:space="0" w:color="D1D5DB"/>
              <w:right w:val="single" w:sz="1" w:space="0" w:color="D1D5DB"/>
            </w:tcBorders>
            <w:shd w:val="clear" w:color="auto" w:fill="F9FAFB"/>
            <w:tcMar>
              <w:top w:w="80" w:type="dxa"/>
              <w:left w:w="120" w:type="dxa"/>
              <w:bottom w:w="80" w:type="dxa"/>
              <w:right w:w="120" w:type="dxa"/>
            </w:tcMar>
          </w:tcPr>
          <w:p w14:paraId="71BE6738" w14:textId="77777777" w:rsidR="009030C8" w:rsidRDefault="00000000">
            <w:pPr>
              <w:spacing w:line="276" w:lineRule="auto"/>
            </w:pPr>
            <w:r>
              <w:rPr>
                <w:sz w:val="20"/>
                <w:szCs w:val="20"/>
              </w:rPr>
              <w:t>~$4.6M</w:t>
            </w:r>
          </w:p>
        </w:tc>
        <w:tc>
          <w:tcPr>
            <w:tcW w:w="1320" w:type="dxa"/>
            <w:tcBorders>
              <w:top w:val="single" w:sz="1" w:space="0" w:color="D1D5DB"/>
              <w:left w:val="single" w:sz="1" w:space="0" w:color="D1D5DB"/>
              <w:bottom w:val="single" w:sz="1" w:space="0" w:color="D1D5DB"/>
              <w:right w:val="single" w:sz="1" w:space="0" w:color="D1D5DB"/>
            </w:tcBorders>
            <w:shd w:val="clear" w:color="auto" w:fill="F9FAFB"/>
            <w:tcMar>
              <w:top w:w="80" w:type="dxa"/>
              <w:left w:w="120" w:type="dxa"/>
              <w:bottom w:w="80" w:type="dxa"/>
              <w:right w:w="120" w:type="dxa"/>
            </w:tcMar>
          </w:tcPr>
          <w:p w14:paraId="308AB3D3" w14:textId="77777777" w:rsidR="009030C8" w:rsidRDefault="00000000">
            <w:pPr>
              <w:spacing w:line="276" w:lineRule="auto"/>
            </w:pPr>
            <w:r>
              <w:rPr>
                <w:sz w:val="20"/>
                <w:szCs w:val="20"/>
              </w:rPr>
              <w:t>1,287 MWh</w:t>
            </w:r>
          </w:p>
        </w:tc>
      </w:tr>
    </w:tbl>
    <w:p w14:paraId="21BDB220" w14:textId="77777777" w:rsidR="009030C8" w:rsidRDefault="009030C8">
      <w:pPr>
        <w:spacing w:after="60"/>
      </w:pPr>
    </w:p>
    <w:p w14:paraId="05672835" w14:textId="77777777" w:rsidR="009030C8" w:rsidRDefault="00000000">
      <w:pPr>
        <w:spacing w:after="100" w:line="276" w:lineRule="auto"/>
      </w:pPr>
      <w:r>
        <w:rPr>
          <w:color w:val="6B7280"/>
        </w:rPr>
        <w:t>Note: Values marked (est.) are independent analyst estimates. 'N/A' reflects non-disclosure by the company, not absence of training data. GPU-hours are converted at cloud spot pricing of $1.50–$2.00 per GPU-hour.</w:t>
      </w:r>
    </w:p>
    <w:p w14:paraId="617E1DAB" w14:textId="77777777" w:rsidR="009030C8" w:rsidRDefault="009030C8">
      <w:pPr>
        <w:spacing w:after="80"/>
      </w:pPr>
    </w:p>
    <w:p w14:paraId="3E450D9A" w14:textId="77777777" w:rsidR="009030C8" w:rsidRDefault="00000000">
      <w:pPr>
        <w:pBdr>
          <w:bottom w:val="single" w:sz="4" w:space="4" w:color="2563EB"/>
        </w:pBdr>
        <w:spacing w:before="200" w:after="80" w:line="276" w:lineRule="auto"/>
      </w:pPr>
      <w:r>
        <w:rPr>
          <w:b/>
          <w:bCs/>
          <w:color w:val="111827"/>
          <w:sz w:val="28"/>
          <w:szCs w:val="28"/>
        </w:rPr>
        <w:t>The Four Resource Categories</w:t>
      </w:r>
    </w:p>
    <w:p w14:paraId="7A2796AC" w14:textId="77777777" w:rsidR="009030C8" w:rsidRDefault="00000000">
      <w:pPr>
        <w:spacing w:after="100" w:line="276" w:lineRule="auto"/>
      </w:pPr>
      <w:r>
        <w:t xml:space="preserve">Four distinct cost dimensions must be planned for in any LLM training program. Each </w:t>
      </w:r>
      <w:proofErr w:type="gramStart"/>
      <w:r>
        <w:t>scales</w:t>
      </w:r>
      <w:proofErr w:type="gramEnd"/>
      <w:r>
        <w:t xml:space="preserve"> differently and presents unique strategic challenges.</w:t>
      </w:r>
    </w:p>
    <w:p w14:paraId="5BCC3A7F" w14:textId="77777777" w:rsidR="009030C8" w:rsidRDefault="009030C8">
      <w:pPr>
        <w:spacing w:after="60"/>
      </w:pPr>
    </w:p>
    <w:p w14:paraId="44ECF746" w14:textId="77777777" w:rsidR="009030C8" w:rsidRDefault="00000000">
      <w:pPr>
        <w:spacing w:before="140" w:after="40" w:line="276" w:lineRule="auto"/>
      </w:pPr>
      <w:r>
        <w:rPr>
          <w:b/>
          <w:bCs/>
          <w:color w:val="111827"/>
          <w:sz w:val="24"/>
          <w:szCs w:val="24"/>
        </w:rPr>
        <w:t>Data</w:t>
      </w:r>
    </w:p>
    <w:p w14:paraId="51D709CD" w14:textId="77777777" w:rsidR="009030C8" w:rsidRDefault="00000000">
      <w:pPr>
        <w:spacing w:after="100" w:line="276" w:lineRule="auto"/>
      </w:pPr>
      <w:r>
        <w:t>Data acquisition is increasingly the binding constraint in LLM development. The public internet's usable text has been largely exhausted at frontier scale. Companies now negotiate licensing deals with publishers and platforms—Reddit reportedly reached a $60M annual deal with Google in 2024. Synthetic data generation is an emerging supplement, though quality degradation from repeated self-training (model collapse) remains an active concern.</w:t>
      </w:r>
    </w:p>
    <w:p w14:paraId="419FE15A" w14:textId="77777777" w:rsidR="009030C8" w:rsidRDefault="009030C8">
      <w:pPr>
        <w:spacing w:after="40"/>
      </w:pPr>
    </w:p>
    <w:p w14:paraId="2D951868" w14:textId="77777777" w:rsidR="009030C8" w:rsidRDefault="00000000">
      <w:pPr>
        <w:spacing w:before="140" w:after="40" w:line="276" w:lineRule="auto"/>
      </w:pPr>
      <w:r>
        <w:rPr>
          <w:b/>
          <w:bCs/>
          <w:color w:val="111827"/>
          <w:sz w:val="24"/>
          <w:szCs w:val="24"/>
        </w:rPr>
        <w:t>Compute</w:t>
      </w:r>
    </w:p>
    <w:p w14:paraId="4BD61809" w14:textId="77777777" w:rsidR="009030C8" w:rsidRDefault="00000000">
      <w:pPr>
        <w:spacing w:after="100" w:line="276" w:lineRule="auto"/>
      </w:pPr>
      <w:r>
        <w:lastRenderedPageBreak/>
        <w:t xml:space="preserve">GPU and TPU compute </w:t>
      </w:r>
      <w:proofErr w:type="gramStart"/>
      <w:r>
        <w:t>represents</w:t>
      </w:r>
      <w:proofErr w:type="gramEnd"/>
      <w:r>
        <w:t xml:space="preserve"> the single largest training cost. NVIDIA H100 GPUs—the current industry standard—retail at $30,000–$40,000 per unit, with cloud rental at $2–$4 per GPU-hour. A GPT-4-scale run across 25,000 A100s over 90 days implies roughly 54 million GPU-hours, or ~$100M at cloud pricing. Microsoft, Google, Meta, and Amazon have all announced multi-billion-dollar GPU infrastructure commitments through 2026.</w:t>
      </w:r>
    </w:p>
    <w:p w14:paraId="6F64EB55" w14:textId="77777777" w:rsidR="009030C8" w:rsidRDefault="009030C8">
      <w:pPr>
        <w:spacing w:after="40"/>
      </w:pPr>
    </w:p>
    <w:p w14:paraId="0DA50276" w14:textId="77777777" w:rsidR="009030C8" w:rsidRDefault="00000000">
      <w:pPr>
        <w:spacing w:before="140" w:after="40" w:line="276" w:lineRule="auto"/>
      </w:pPr>
      <w:r>
        <w:rPr>
          <w:b/>
          <w:bCs/>
          <w:color w:val="111827"/>
          <w:sz w:val="24"/>
          <w:szCs w:val="24"/>
        </w:rPr>
        <w:t>Energy</w:t>
      </w:r>
    </w:p>
    <w:p w14:paraId="0E5C0F9C" w14:textId="77777777" w:rsidR="009030C8" w:rsidRDefault="00000000">
      <w:pPr>
        <w:spacing w:after="100" w:line="276" w:lineRule="auto"/>
      </w:pPr>
      <w:r>
        <w:t>Energy consumption scales directly with compute utilization. GPT-3's training consumed approximately 1,287 MWh—equivalent to the annual electricity use of ~120 U.S. households. Scaling to GPT-4's estimated size suggests energy consumption on the order of 51 GWh for the training run alone. All major AI labs have committed to renewable energy procurement; Microsoft has partnered with nuclear energy providers, while Google DeepMind has signed solar and wind power purchase agreements specifically for AI compute loads.</w:t>
      </w:r>
    </w:p>
    <w:p w14:paraId="7CCF839F" w14:textId="77777777" w:rsidR="009030C8" w:rsidRDefault="009030C8">
      <w:pPr>
        <w:spacing w:after="40"/>
      </w:pPr>
    </w:p>
    <w:p w14:paraId="3FF9748E" w14:textId="77777777" w:rsidR="009030C8" w:rsidRDefault="00000000">
      <w:pPr>
        <w:spacing w:before="140" w:after="40" w:line="276" w:lineRule="auto"/>
      </w:pPr>
      <w:r>
        <w:rPr>
          <w:b/>
          <w:bCs/>
          <w:color w:val="111827"/>
          <w:sz w:val="24"/>
          <w:szCs w:val="24"/>
        </w:rPr>
        <w:t>Time</w:t>
      </w:r>
    </w:p>
    <w:p w14:paraId="077DE355" w14:textId="77777777" w:rsidR="00A37E61" w:rsidRDefault="00000000" w:rsidP="00A37E61">
      <w:pPr>
        <w:spacing w:after="100" w:line="276" w:lineRule="auto"/>
      </w:pPr>
      <w:r>
        <w:t xml:space="preserve">Training duration is determined by model size, dataset size, and available compute. GPT-3 required ~34 days; </w:t>
      </w:r>
      <w:proofErr w:type="spellStart"/>
      <w:r>
        <w:t>LLaMA</w:t>
      </w:r>
      <w:proofErr w:type="spellEnd"/>
      <w:r>
        <w:t xml:space="preserve"> 3 70B took ~42 days; GPT-4 is estimated at 90–120 days. Wall-clock time is strategically significant: a longer run delays revenue, increases hardware failure exposure, and extends the window in which competitors may release rival models.</w:t>
      </w:r>
    </w:p>
    <w:p w14:paraId="43A0CE45" w14:textId="0386DCCB" w:rsidR="009030C8" w:rsidRDefault="009030C8" w:rsidP="00A37E61">
      <w:pPr>
        <w:spacing w:after="100" w:line="276" w:lineRule="auto"/>
      </w:pPr>
    </w:p>
    <w:p w14:paraId="0B1602DD" w14:textId="77777777" w:rsidR="009030C8" w:rsidRDefault="00000000">
      <w:pPr>
        <w:pBdr>
          <w:bottom w:val="single" w:sz="4" w:space="4" w:color="2563EB"/>
        </w:pBdr>
        <w:spacing w:before="200" w:after="80" w:line="276" w:lineRule="auto"/>
      </w:pPr>
      <w:r>
        <w:rPr>
          <w:b/>
          <w:bCs/>
          <w:color w:val="111827"/>
          <w:sz w:val="28"/>
          <w:szCs w:val="28"/>
        </w:rPr>
        <w:t>Infographic Design Rationale</w:t>
      </w:r>
    </w:p>
    <w:p w14:paraId="66788AEF" w14:textId="77777777" w:rsidR="009030C8" w:rsidRDefault="00000000">
      <w:pPr>
        <w:spacing w:after="100" w:line="276" w:lineRule="auto"/>
      </w:pPr>
      <w:r>
        <w:t>The accompanying infographic was designed to serve technical practitioners, business stakeholders, and students with introductory AI literacy. Three core design decisions shaped the artifact.</w:t>
      </w:r>
    </w:p>
    <w:p w14:paraId="3976EAEF" w14:textId="77777777" w:rsidR="009030C8" w:rsidRDefault="009030C8">
      <w:pPr>
        <w:spacing w:after="60"/>
      </w:pPr>
    </w:p>
    <w:p w14:paraId="221FB32F" w14:textId="77777777" w:rsidR="009030C8" w:rsidRDefault="00000000">
      <w:pPr>
        <w:pStyle w:val="ListParagraph"/>
        <w:numPr>
          <w:ilvl w:val="0"/>
          <w:numId w:val="2"/>
        </w:numPr>
        <w:spacing w:after="60" w:line="276" w:lineRule="auto"/>
      </w:pPr>
      <w:r>
        <w:rPr>
          <w:b/>
          <w:bCs/>
          <w:color w:val="111827"/>
        </w:rPr>
        <w:t xml:space="preserve">Color as information. </w:t>
      </w:r>
      <w:r>
        <w:t>Color systematically encodes category: cyan for data and process, amber for compute and cost, emerald for energy and deployment, violet for architecture and alignment. This prevents visual ambiguity between information types and allows viewers to scan rapidly for a specific resource dimension.</w:t>
      </w:r>
    </w:p>
    <w:p w14:paraId="3529DC2E" w14:textId="77777777" w:rsidR="009030C8" w:rsidRDefault="00000000">
      <w:pPr>
        <w:pStyle w:val="ListParagraph"/>
        <w:numPr>
          <w:ilvl w:val="0"/>
          <w:numId w:val="2"/>
        </w:numPr>
        <w:spacing w:after="60" w:line="276" w:lineRule="auto"/>
      </w:pPr>
      <w:r>
        <w:rPr>
          <w:b/>
          <w:bCs/>
          <w:color w:val="111827"/>
        </w:rPr>
        <w:t xml:space="preserve">Typography as layer. </w:t>
      </w:r>
      <w:r>
        <w:t xml:space="preserve">Three typefaces serve three distinct semantic roles: </w:t>
      </w:r>
      <w:proofErr w:type="spellStart"/>
      <w:r>
        <w:t>BigShoulders</w:t>
      </w:r>
      <w:proofErr w:type="spellEnd"/>
      <w:r>
        <w:t xml:space="preserve"> Bold for structural headers (hierarchy and scale), Instrument Sans for descriptive body text (legibility at small sizes), and Geist Mono for all numerical data and technical specs (precision and easy comparison).</w:t>
      </w:r>
    </w:p>
    <w:p w14:paraId="21F09CD7" w14:textId="77777777" w:rsidR="009030C8" w:rsidRDefault="00000000">
      <w:pPr>
        <w:pStyle w:val="ListParagraph"/>
        <w:numPr>
          <w:ilvl w:val="0"/>
          <w:numId w:val="2"/>
        </w:numPr>
        <w:spacing w:after="60" w:line="276" w:lineRule="auto"/>
      </w:pPr>
      <w:r>
        <w:rPr>
          <w:b/>
          <w:bCs/>
          <w:color w:val="111827"/>
        </w:rPr>
        <w:t xml:space="preserve">Spatial hierarchy. </w:t>
      </w:r>
      <w:r>
        <w:t>The seven pipeline stages descend vertically, mapping process time onto spatial movement. A right-aligned statistics column in each stage card allows technically literate readers to extract data without interrupting the flow of the descriptive text.</w:t>
      </w:r>
    </w:p>
    <w:p w14:paraId="26BDAC90" w14:textId="77777777" w:rsidR="009030C8" w:rsidRDefault="009030C8">
      <w:pPr>
        <w:spacing w:after="80"/>
      </w:pPr>
    </w:p>
    <w:p w14:paraId="5591DC97" w14:textId="77777777" w:rsidR="009030C8" w:rsidRDefault="00000000">
      <w:pPr>
        <w:pBdr>
          <w:bottom w:val="single" w:sz="4" w:space="4" w:color="2563EB"/>
        </w:pBdr>
        <w:spacing w:before="200" w:after="80" w:line="276" w:lineRule="auto"/>
      </w:pPr>
      <w:r>
        <w:rPr>
          <w:b/>
          <w:bCs/>
          <w:color w:val="111827"/>
          <w:sz w:val="28"/>
          <w:szCs w:val="28"/>
        </w:rPr>
        <w:lastRenderedPageBreak/>
        <w:t>Key Takeaways</w:t>
      </w:r>
    </w:p>
    <w:p w14:paraId="57C8633F" w14:textId="77777777" w:rsidR="009030C8" w:rsidRDefault="00000000">
      <w:pPr>
        <w:pStyle w:val="ListParagraph"/>
        <w:numPr>
          <w:ilvl w:val="0"/>
          <w:numId w:val="2"/>
        </w:numPr>
        <w:spacing w:after="60" w:line="276" w:lineRule="auto"/>
      </w:pPr>
      <w:r>
        <w:rPr>
          <w:b/>
          <w:bCs/>
          <w:color w:val="111827"/>
        </w:rPr>
        <w:t xml:space="preserve">Scale gap is real. </w:t>
      </w:r>
      <w:r>
        <w:t xml:space="preserve">Frontier closed models cost 10–20× more to train than open-weight alternatives, reflecting differences in parameter count, alignment infrastructure, and deployment investment. </w:t>
      </w:r>
      <w:proofErr w:type="spellStart"/>
      <w:r>
        <w:t>LLaMA</w:t>
      </w:r>
      <w:proofErr w:type="spellEnd"/>
      <w:r>
        <w:t xml:space="preserve"> 3 70B ($5–8M) versus GPT-4 ($78–100M) illustrates this gap clearly.</w:t>
      </w:r>
    </w:p>
    <w:p w14:paraId="3D945249" w14:textId="77777777" w:rsidR="009030C8" w:rsidRDefault="00000000">
      <w:pPr>
        <w:pStyle w:val="ListParagraph"/>
        <w:numPr>
          <w:ilvl w:val="0"/>
          <w:numId w:val="2"/>
        </w:numPr>
        <w:spacing w:after="60" w:line="276" w:lineRule="auto"/>
      </w:pPr>
      <w:r>
        <w:rPr>
          <w:b/>
          <w:bCs/>
          <w:color w:val="111827"/>
        </w:rPr>
        <w:t xml:space="preserve">Data is the new bottleneck. </w:t>
      </w:r>
      <w:r>
        <w:t>The public internet's usable text is largely exhausted at frontier scale. Licensing fees and synthetic data generation are reshaping training economics for all AI developers.</w:t>
      </w:r>
    </w:p>
    <w:p w14:paraId="7E2591A8" w14:textId="77777777" w:rsidR="009030C8" w:rsidRDefault="00000000">
      <w:pPr>
        <w:pStyle w:val="ListParagraph"/>
        <w:numPr>
          <w:ilvl w:val="0"/>
          <w:numId w:val="2"/>
        </w:numPr>
        <w:spacing w:after="60" w:line="276" w:lineRule="auto"/>
      </w:pPr>
      <w:r>
        <w:rPr>
          <w:b/>
          <w:bCs/>
          <w:color w:val="111827"/>
        </w:rPr>
        <w:t xml:space="preserve">Energy is now strategic. </w:t>
      </w:r>
      <w:r>
        <w:t>Frontier LLM training now consumes energy at the gigawatt-hour scale—enough to influence corporate energy purchasing strategy and data center siting decisions.</w:t>
      </w:r>
    </w:p>
    <w:p w14:paraId="0251E3C1" w14:textId="77777777" w:rsidR="009030C8" w:rsidRDefault="00000000">
      <w:pPr>
        <w:pStyle w:val="ListParagraph"/>
        <w:numPr>
          <w:ilvl w:val="0"/>
          <w:numId w:val="2"/>
        </w:numPr>
        <w:spacing w:after="60" w:line="276" w:lineRule="auto"/>
      </w:pPr>
      <w:r>
        <w:rPr>
          <w:b/>
          <w:bCs/>
          <w:color w:val="111827"/>
        </w:rPr>
        <w:t xml:space="preserve">Efficiency is improving. </w:t>
      </w:r>
      <w:r>
        <w:t>Chinchilla scaling laws demonstrated that training tokens per parameter matter as much as raw parameter count. Combined with hardware efficiency gains (H100 vs A100), quantization, and algorithmic improvements, the cost curve continues to compress for a given capability level.</w:t>
      </w:r>
    </w:p>
    <w:p w14:paraId="1A9B110C" w14:textId="77777777" w:rsidR="009030C8" w:rsidRDefault="009030C8">
      <w:pPr>
        <w:spacing w:after="80"/>
      </w:pPr>
    </w:p>
    <w:p w14:paraId="49E9BA19" w14:textId="77777777" w:rsidR="009030C8" w:rsidRDefault="00000000">
      <w:pPr>
        <w:pBdr>
          <w:bottom w:val="single" w:sz="4" w:space="4" w:color="2563EB"/>
        </w:pBdr>
        <w:spacing w:before="200" w:after="80" w:line="276" w:lineRule="auto"/>
      </w:pPr>
      <w:r>
        <w:rPr>
          <w:b/>
          <w:bCs/>
          <w:color w:val="111827"/>
          <w:sz w:val="28"/>
          <w:szCs w:val="28"/>
        </w:rPr>
        <w:t>Sources</w:t>
      </w:r>
    </w:p>
    <w:p w14:paraId="26953F87" w14:textId="77777777" w:rsidR="009030C8" w:rsidRDefault="00000000">
      <w:pPr>
        <w:spacing w:after="100" w:line="276" w:lineRule="auto"/>
      </w:pPr>
      <w:r>
        <w:rPr>
          <w:color w:val="6B7280"/>
        </w:rPr>
        <w:t>Bai et al. (2022). Training a helpful and harmless assistant with RLHF. arXiv:2204.05862.</w:t>
      </w:r>
    </w:p>
    <w:p w14:paraId="46B2EDD7" w14:textId="77777777" w:rsidR="009030C8" w:rsidRDefault="00000000">
      <w:pPr>
        <w:spacing w:after="100" w:line="276" w:lineRule="auto"/>
      </w:pPr>
      <w:r>
        <w:rPr>
          <w:color w:val="6B7280"/>
        </w:rPr>
        <w:t>Hoffmann et al. (2022). Training compute-optimal large language models. arXiv:2203.15556.</w:t>
      </w:r>
    </w:p>
    <w:p w14:paraId="595B3C1A" w14:textId="77777777" w:rsidR="009030C8" w:rsidRDefault="00000000">
      <w:pPr>
        <w:spacing w:after="100" w:line="276" w:lineRule="auto"/>
      </w:pPr>
      <w:r>
        <w:rPr>
          <w:color w:val="6B7280"/>
        </w:rPr>
        <w:t>Ouyang et al. (2022). Training language models to follow instructions. arXiv:2203.02155.</w:t>
      </w:r>
    </w:p>
    <w:p w14:paraId="1C1D99F9" w14:textId="77777777" w:rsidR="009030C8" w:rsidRDefault="00000000">
      <w:pPr>
        <w:spacing w:after="100" w:line="276" w:lineRule="auto"/>
      </w:pPr>
      <w:r>
        <w:rPr>
          <w:color w:val="6B7280"/>
        </w:rPr>
        <w:t xml:space="preserve">Patel &amp; Ahmad (2023). GPT-4 architecture and infrastructure. </w:t>
      </w:r>
      <w:proofErr w:type="spellStart"/>
      <w:r>
        <w:rPr>
          <w:color w:val="6B7280"/>
        </w:rPr>
        <w:t>SemiAnalysis</w:t>
      </w:r>
      <w:proofErr w:type="spellEnd"/>
      <w:r>
        <w:rPr>
          <w:color w:val="6B7280"/>
        </w:rPr>
        <w:t>.</w:t>
      </w:r>
    </w:p>
    <w:p w14:paraId="36A8A7D8" w14:textId="77777777" w:rsidR="009030C8" w:rsidRDefault="00000000">
      <w:pPr>
        <w:spacing w:after="100" w:line="276" w:lineRule="auto"/>
      </w:pPr>
      <w:r>
        <w:rPr>
          <w:color w:val="6B7280"/>
        </w:rPr>
        <w:t>Patterson et al. (2021). Carbon emissions and large neural network training. arXiv:2104.10350.</w:t>
      </w:r>
    </w:p>
    <w:p w14:paraId="7F3BE0C2" w14:textId="77777777" w:rsidR="009030C8" w:rsidRDefault="00000000">
      <w:pPr>
        <w:spacing w:after="100" w:line="276" w:lineRule="auto"/>
      </w:pPr>
      <w:proofErr w:type="spellStart"/>
      <w:r>
        <w:rPr>
          <w:color w:val="6B7280"/>
        </w:rPr>
        <w:t>Touvron</w:t>
      </w:r>
      <w:proofErr w:type="spellEnd"/>
      <w:r>
        <w:rPr>
          <w:color w:val="6B7280"/>
        </w:rPr>
        <w:t xml:space="preserve"> et al. (2024). </w:t>
      </w:r>
      <w:proofErr w:type="spellStart"/>
      <w:r>
        <w:rPr>
          <w:color w:val="6B7280"/>
        </w:rPr>
        <w:t>LLaMA</w:t>
      </w:r>
      <w:proofErr w:type="spellEnd"/>
      <w:r>
        <w:rPr>
          <w:color w:val="6B7280"/>
        </w:rPr>
        <w:t xml:space="preserve"> 3: Open and efficient foundation language models. arXiv:2407.21783.</w:t>
      </w:r>
    </w:p>
    <w:p w14:paraId="372A63C5" w14:textId="77777777" w:rsidR="009030C8" w:rsidRDefault="00000000">
      <w:pPr>
        <w:spacing w:after="100" w:line="276" w:lineRule="auto"/>
      </w:pPr>
      <w:r>
        <w:rPr>
          <w:color w:val="6B7280"/>
        </w:rPr>
        <w:t xml:space="preserve">Vaswani et al. (2017). Attention is all you need. </w:t>
      </w:r>
      <w:proofErr w:type="spellStart"/>
      <w:r>
        <w:rPr>
          <w:color w:val="6B7280"/>
        </w:rPr>
        <w:t>NeurIPS</w:t>
      </w:r>
      <w:proofErr w:type="spellEnd"/>
      <w:r>
        <w:rPr>
          <w:color w:val="6B7280"/>
        </w:rPr>
        <w:t xml:space="preserve"> 2017.</w:t>
      </w:r>
    </w:p>
    <w:sectPr w:rsidR="009030C8">
      <w:footerReference w:type="default" r:id="rId7"/>
      <w:pgSz w:w="12240" w:h="15840"/>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247259" w14:textId="77777777" w:rsidR="001D5751" w:rsidRDefault="001D5751">
      <w:r>
        <w:separator/>
      </w:r>
    </w:p>
  </w:endnote>
  <w:endnote w:type="continuationSeparator" w:id="0">
    <w:p w14:paraId="08112093" w14:textId="77777777" w:rsidR="001D5751" w:rsidRDefault="001D57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4D4E0E" w14:textId="77777777" w:rsidR="009030C8" w:rsidRDefault="00000000">
    <w:pPr>
      <w:spacing w:line="276" w:lineRule="auto"/>
      <w:jc w:val="right"/>
    </w:pPr>
    <w:r>
      <w:rPr>
        <w:color w:val="6B7280"/>
        <w:sz w:val="20"/>
        <w:szCs w:val="20"/>
      </w:rPr>
      <w:fldChar w:fldCharType="begin"/>
    </w:r>
    <w:r>
      <w:rPr>
        <w:color w:val="6B7280"/>
        <w:sz w:val="20"/>
        <w:szCs w:val="20"/>
      </w:rPr>
      <w:instrText>PAGE</w:instrText>
    </w:r>
    <w:r>
      <w:rPr>
        <w:color w:val="6B7280"/>
        <w:sz w:val="20"/>
        <w:szCs w:val="20"/>
      </w:rPr>
      <w:fldChar w:fldCharType="separate"/>
    </w:r>
    <w:r w:rsidR="00A37E61">
      <w:rPr>
        <w:noProof/>
        <w:color w:val="6B7280"/>
        <w:sz w:val="20"/>
        <w:szCs w:val="20"/>
      </w:rPr>
      <w:t>1</w:t>
    </w:r>
    <w:r>
      <w:rPr>
        <w:color w:val="6B7280"/>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DACC96" w14:textId="77777777" w:rsidR="001D5751" w:rsidRDefault="001D5751">
      <w:r>
        <w:separator/>
      </w:r>
    </w:p>
  </w:footnote>
  <w:footnote w:type="continuationSeparator" w:id="0">
    <w:p w14:paraId="1918A93B" w14:textId="77777777" w:rsidR="001D5751" w:rsidRDefault="001D575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8D5583"/>
    <w:multiLevelType w:val="hybridMultilevel"/>
    <w:tmpl w:val="93686D92"/>
    <w:lvl w:ilvl="0" w:tplc="0B783ACA">
      <w:start w:val="1"/>
      <w:numFmt w:val="bullet"/>
      <w:lvlText w:val="–"/>
      <w:lvlJc w:val="left"/>
      <w:pPr>
        <w:ind w:left="540" w:hanging="360"/>
      </w:pPr>
      <w:rPr>
        <w:rFonts w:ascii="Calibri" w:eastAsia="Calibri" w:hAnsi="Calibri" w:cs="Calibri"/>
        <w:color w:val="2563EB"/>
        <w:sz w:val="22"/>
        <w:szCs w:val="22"/>
      </w:rPr>
    </w:lvl>
    <w:lvl w:ilvl="1" w:tplc="AA4A5A14">
      <w:numFmt w:val="decimal"/>
      <w:lvlText w:val=""/>
      <w:lvlJc w:val="left"/>
    </w:lvl>
    <w:lvl w:ilvl="2" w:tplc="25081060">
      <w:numFmt w:val="decimal"/>
      <w:lvlText w:val=""/>
      <w:lvlJc w:val="left"/>
    </w:lvl>
    <w:lvl w:ilvl="3" w:tplc="8E166AAE">
      <w:numFmt w:val="decimal"/>
      <w:lvlText w:val=""/>
      <w:lvlJc w:val="left"/>
    </w:lvl>
    <w:lvl w:ilvl="4" w:tplc="36E2FACE">
      <w:numFmt w:val="decimal"/>
      <w:lvlText w:val=""/>
      <w:lvlJc w:val="left"/>
    </w:lvl>
    <w:lvl w:ilvl="5" w:tplc="639A9808">
      <w:numFmt w:val="decimal"/>
      <w:lvlText w:val=""/>
      <w:lvlJc w:val="left"/>
    </w:lvl>
    <w:lvl w:ilvl="6" w:tplc="19BEE3F4">
      <w:numFmt w:val="decimal"/>
      <w:lvlText w:val=""/>
      <w:lvlJc w:val="left"/>
    </w:lvl>
    <w:lvl w:ilvl="7" w:tplc="C33C76AC">
      <w:numFmt w:val="decimal"/>
      <w:lvlText w:val=""/>
      <w:lvlJc w:val="left"/>
    </w:lvl>
    <w:lvl w:ilvl="8" w:tplc="390E34B2">
      <w:numFmt w:val="decimal"/>
      <w:lvlText w:val=""/>
      <w:lvlJc w:val="left"/>
    </w:lvl>
  </w:abstractNum>
  <w:abstractNum w:abstractNumId="1" w15:restartNumberingAfterBreak="0">
    <w:nsid w:val="636E4582"/>
    <w:multiLevelType w:val="hybridMultilevel"/>
    <w:tmpl w:val="C2108ED4"/>
    <w:lvl w:ilvl="0" w:tplc="CEA4091C">
      <w:start w:val="1"/>
      <w:numFmt w:val="bullet"/>
      <w:lvlText w:val="●"/>
      <w:lvlJc w:val="left"/>
      <w:pPr>
        <w:ind w:left="720" w:hanging="360"/>
      </w:pPr>
    </w:lvl>
    <w:lvl w:ilvl="1" w:tplc="D5C6B7A0">
      <w:start w:val="1"/>
      <w:numFmt w:val="bullet"/>
      <w:lvlText w:val="○"/>
      <w:lvlJc w:val="left"/>
      <w:pPr>
        <w:ind w:left="1440" w:hanging="360"/>
      </w:pPr>
    </w:lvl>
    <w:lvl w:ilvl="2" w:tplc="2C203DB6">
      <w:start w:val="1"/>
      <w:numFmt w:val="bullet"/>
      <w:lvlText w:val="■"/>
      <w:lvlJc w:val="left"/>
      <w:pPr>
        <w:ind w:left="2160" w:hanging="360"/>
      </w:pPr>
    </w:lvl>
    <w:lvl w:ilvl="3" w:tplc="F02449D0">
      <w:start w:val="1"/>
      <w:numFmt w:val="bullet"/>
      <w:lvlText w:val="●"/>
      <w:lvlJc w:val="left"/>
      <w:pPr>
        <w:ind w:left="2880" w:hanging="360"/>
      </w:pPr>
    </w:lvl>
    <w:lvl w:ilvl="4" w:tplc="442E2CDE">
      <w:start w:val="1"/>
      <w:numFmt w:val="bullet"/>
      <w:lvlText w:val="○"/>
      <w:lvlJc w:val="left"/>
      <w:pPr>
        <w:ind w:left="3600" w:hanging="360"/>
      </w:pPr>
    </w:lvl>
    <w:lvl w:ilvl="5" w:tplc="B6A8D11C">
      <w:start w:val="1"/>
      <w:numFmt w:val="bullet"/>
      <w:lvlText w:val="■"/>
      <w:lvlJc w:val="left"/>
      <w:pPr>
        <w:ind w:left="4320" w:hanging="360"/>
      </w:pPr>
    </w:lvl>
    <w:lvl w:ilvl="6" w:tplc="C25CC7C0">
      <w:start w:val="1"/>
      <w:numFmt w:val="bullet"/>
      <w:lvlText w:val="●"/>
      <w:lvlJc w:val="left"/>
      <w:pPr>
        <w:ind w:left="5040" w:hanging="360"/>
      </w:pPr>
    </w:lvl>
    <w:lvl w:ilvl="7" w:tplc="CF6E6D2E">
      <w:start w:val="1"/>
      <w:numFmt w:val="bullet"/>
      <w:lvlText w:val="●"/>
      <w:lvlJc w:val="left"/>
      <w:pPr>
        <w:ind w:left="5760" w:hanging="360"/>
      </w:pPr>
    </w:lvl>
    <w:lvl w:ilvl="8" w:tplc="D662FF46">
      <w:start w:val="1"/>
      <w:numFmt w:val="bullet"/>
      <w:lvlText w:val="●"/>
      <w:lvlJc w:val="left"/>
      <w:pPr>
        <w:ind w:left="6480" w:hanging="360"/>
      </w:pPr>
    </w:lvl>
  </w:abstractNum>
  <w:num w:numId="1" w16cid:durableId="1044863688">
    <w:abstractNumId w:val="1"/>
    <w:lvlOverride w:ilvl="0">
      <w:startOverride w:val="1"/>
    </w:lvlOverride>
  </w:num>
  <w:num w:numId="2" w16cid:durableId="173913503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30C8"/>
    <w:rsid w:val="001D5751"/>
    <w:rsid w:val="002274E6"/>
    <w:rsid w:val="009030C8"/>
    <w:rsid w:val="00A37E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BF32F12"/>
  <w15:docId w15:val="{B79E4130-6B2D-0141-93C9-DFE61E60E4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color w:val="374151"/>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1083</Words>
  <Characters>6600</Characters>
  <Application>Microsoft Office Word</Application>
  <DocSecurity>0</DocSecurity>
  <Lines>178</Lines>
  <Paragraphs>111</Paragraphs>
  <ScaleCrop>false</ScaleCrop>
  <Company/>
  <LinksUpToDate>false</LinksUpToDate>
  <CharactersWithSpaces>7572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Dennis Hagan</cp:lastModifiedBy>
  <cp:revision>2</cp:revision>
  <dcterms:created xsi:type="dcterms:W3CDTF">2026-03-26T13:21:00Z</dcterms:created>
  <dcterms:modified xsi:type="dcterms:W3CDTF">2026-03-26T13:23:00Z</dcterms:modified>
</cp:coreProperties>
</file>